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87.598 vom 9. März 1989</w:t>
      </w:r>
    </w:p>
    <w:p>
      <w:r>
        <w:t>Bundesverwaltung, 1989-03-09, DE</w:t>
      </w:r>
    </w:p>
    <w:p>
      <w:r>
        <w:rPr>
          <w:b/>
        </w:rPr>
        <w:t xml:space="preserve">Quelle: </w:t>
      </w:r>
      <w:r>
        <w:t>https://mcp.opencaselaw.ch/entscheid/ch_vb_87.598</w:t>
      </w:r>
    </w:p>
    <w:p>
      <w:r>
        <w:t>FR: CH_VB 87.598 du 9 mars 1989</w:t>
      </w:r>
    </w:p>
    <w:p>
      <w:r>
        <w:t>IT: CH_VB 87.598 del 9 marzo 1989</w:t>
      </w:r>
    </w:p>
    <w:p>
      <w:pPr>
        <w:pStyle w:val="Heading2"/>
      </w:pPr>
      <w:r>
        <w:t>Erwägungen</w:t>
      </w:r>
    </w:p>
    <w:p>
      <w:r>
        <w:rPr>
          <w:b/>
        </w:rPr>
        <w:t>E. 9</w:t>
      </w:r>
    </w:p>
    <w:p>
      <w:r>
        <w:t>März 1989 N 369 Motion Béguelin eminenter Bedeutung. Ich konnte bei einem Besuch vor einiger Zeit selbst feststellen, dass hier der Volkswille klar besteht: Man will und man braucht diese Strasse. Die Leute sehen mit etwas Besorgnis dieser Abstimmung über die Kleeblatt-Initiative entgegen, weil ja die ganze Schweiz über ihr Wohl oder Schicksal entscheiden kann. Zum Baubeginn bei der N 1 : Hier sind die Arbeiten vorange- schritten. Auch hier wurden wir von Seiten der Kantone Freiburg und Waadt gebeten, diese Arbeiten nicht zu unter- brechen, sondern sie voranzutreiben. Herr Günter hat gesagt: Es gibt den politischen und den juristischen Weg. Wir sollten den richtigen Weg gehen, d. h. jetzt möglichst rasch diese Angelegenheit zur Volksabstimmung vorlegen und zugleich nicht Arbeiten provozieren, die man noch zurückstellen könnte. Wir versuchen also, hier einen Mittelweg zu gehen. Ich bitte Sie aber, diese Motion abzulehnen. Abstimmung - Vote Für Ueberweisung der Motion Dagegen 53 Stimmen 90 Stimmen Le président: Je suis contraint de vous proposer une modifi- cation de l'ordre du jour. Nous allons poursuivre avec les propositions individuelles concernant le Département fédé- ral des transports, des communications et de l'énergie jus- qu'à 10 h 15. Nous traiterons ensuite les divergences concernant les détenteurs de bétail dans les régions de montagne, objet qui devrait être rapidement liquidé. Enfin, nous aborderons la poursuite de la loi sur les subventions. Nous ne traiterons donc pas aujourd'hui le dossier des pétitions. L'objet suivant de la liste individuelle est la motion Béguelin «Place de parc près des gares. Contribution aux frais de construction». #ST# 88.527 Motion Béguelin Bahnhofparkplätze. Baubeiträge Places de parc près des gares. Contributions aux frais de construction Wortlaut der Motion vom 22. Juni 1988 Der Bundesrat wird beauftragt, die Beiträge an den Bau von Parkplätzen bei Bahnhöfen von «20 bis 50 Prozent» der anrechenbaren Kosten auf «50 bis 80 Prozent» zu erhöhen. Gleichzeitig soll er die SBB und die öffentlichen Transport- unternehmen auffordern, ihre diesbezügliche Planung vor- anzutreiben. Texte de la motion du 22 juin 1988 Le Conseil fédéral est chargé de porter les contributions actuelles de «20 à 50 pour cent» des frais imputables pour la construction de places de parc près des gares à «50 à 80 pour cent». Simultanément, le Conseil fédéral incitera les CFF et les entreprises de transports publics à accélérer leur planification en la matière. Mitunterzeichner- Cosignataire: Keine - Aucun Schriftliche Begründung - Développement par écrit Suite à l'échec de la politique coordonnée des transports devant le peuple, il s'agit de promouvoir, dans un premier temps, les diverses composantes non contestées de la politi- que des transports. L'encouragement de la construction de places de parc près des gares en est une. Les dispositions constitutionnelles actuelles, qui avaient un caractère transi- toire en attendant la PCT, ont acquis maintenant un statut définitif, pour un certain temps tout au moins. Il s'agit donc d'utiliser en plein les compétences qu'elles octroient. Pour les contributions aux frais de construction de places de parc près des gares, ces compétences sont réglées par l'article 24 de la loi sur l'utlisation des droits d'entrée sur les carburants. Jusqu'à présent, cet article n'a été que fort modestement utilisé puisque les montants versés sont de l'ordre de quelques millions par an. Les besoins sont consi- dérables pourtant, mais les entreprises de transports publics ne paraissent pas être très motivées en la matière, sans doute parce qu'une part importante du financement reste aléatoire. Pourtant, des accès sûrs et garantis aux gares représentent le complément indispensable au succès de RAIL 2000. Il ne sert à rien d'aller vite entre deux gares, si l'accès à ces dernières est lent et problématique. Schriftliche Stellungnahme des Bundesrates vom 14. November 1988 Rapport écrit du Conseil fédéral du 14 novembre 1988 Pour les raisons énumérées ci-après, il n'est pas possible de faire passer de 50 à 80 pour cent les contributions fédérales aux frais de construction des places de parc près des gares, qui oscillent actuellement entre 20 et 50 pour cent, voire 60 pour les places difficiles à financer. I.Les dispositions régissant l'affectation du produit des droits d'entrée sur les carburants obligent la Confédération à verser les plus hautes contributions pour la construction des routes nationales qui sont financées de la sorte à raison de 50 à 90, voire 97 pour cent; cette contribution est de 20 à 80, ou même 85 pour cent pour les routes principales et de 40 à 80, éventuellement de 90 pour cent lorsqu'il s'agit de supprimer les passages à niveau ou d'en améliorer la sécu- rité. Les taux de contribution pour les routes nationales ou principales s'appliquent également aux frais des mesures de protection de l'environnement et du paysage nécessitées par le trafic routier ainsi qu'à ceux résultant d'ouvrages de protection contre les forces de la nature. Seule condition à cela: ces projets doivent être parties intégrantes de la cons- truction ou de l'aménagement des routes susnommées. Dans les autres cas, la participation de la Confédération oscille entre 10 et 60 pour cent. Il serait difficile d'admettre que les places de parc obtiennent un montant accru à 50, voire 80 pour cent, alors que les taux sont de 30 à 60 pour cent pour les mesures anti-bruit, de 20 à 37,5 pour cent (soit la moitié des contributions fédérales qui sont de 40 à 75 pour cent) pour les mesures visant à remédier aux dégâts des forêts, de 10 à 35 pour cent pour les mesures de protec- tion de l'environnement nécessitées par le trafic routier ou encore de 20 à 45 pour cent pour l'endiguement de torrents et les corrections de cours d'eau. 2. Cette inégalité des taux serait en outre accentuée du fait que lesdites places de parc sont en général utilisées moy- ennant rémunération ce qui, dans les grandes villes surtout, est source d'un rendement ordinairement normal. Ajoutons que, souvent en pareil cas, ce sont des sociétés de capitaux qui construisent et exploitent les silos à voitures. En effet, les frais sont en l'occurrence trop élevés pour les compag- nies de chemins de fer; celles-ci se contentent de collaborer ou non à la gestion. La contribution fédérale ne sert donc qu'à faciliter la recherche de capitaux et à surmonter les difficultés initiales. Généralement, un taux de participation aux frais de construction de 20 à 30 pour cent suffit ample- ment, par le biais d'un prêt exempt d'intérêts les cinq pre- mières années. Des contributions plus élevées sont allouées uniquement lorsque le contrat prévoit des réductions tarifai- res pour les usagers du rail. Les villes et localités plus petites se voient accorder des montants plus substantiels allant de 35 à 50, voire 60 pour cent. Il est vrai que le terrain néces- saire appartient alors, dans la plupart des cas, soit à l'entre- prise de chemin de fer, soit à la commune. Une contribution à fonds perdu permet généralement d'en subventionner l'achat ainsi que les autres frais de construction, si bien que ces places de parc peuvent aussi devenir rentables.</w:t>
      </w:r>
    </w:p>
    <w:p>
      <w:r>
        <w:t>Schweizerisches Bundesarchiv, Digitale Amtsdruckschriften Archives fédérales suisses, Publications officielles numérisées Archivio federale svizzero, Pubblicazioni ufficiali digitali Motion der LdU/EVP-Fraktion Autobahnbau. Moratorium bis zur Abstimmung Motion du groupe Adl/PEP Projets d'autoroutes. Moratoire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87.598 Numéro d'objet Numero dell'oggetto Datum 09.03.1989 - 08:00 Date Data Seite 365-369 Page Pagina Ref. No 20 017 211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