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87.552 vom 18. Dezember 1987</w:t>
      </w:r>
    </w:p>
    <w:p>
      <w:r>
        <w:t>Bundesverwaltung, 1987-12-18, DE</w:t>
      </w:r>
    </w:p>
    <w:p>
      <w:r>
        <w:rPr>
          <w:b/>
        </w:rPr>
        <w:t xml:space="preserve">Quelle: </w:t>
      </w:r>
      <w:r>
        <w:t>https://mcp.opencaselaw.ch/entscheid/ch_vb_87.552</w:t>
      </w:r>
    </w:p>
    <w:p>
      <w:r>
        <w:t>FR: CH_VB 87.552 du 18 décembre 1987</w:t>
      </w:r>
    </w:p>
    <w:p>
      <w:r>
        <w:t>IT: CH_VB 87.552 del 18 dicembre 1987</w:t>
      </w:r>
    </w:p>
    <w:p>
      <w:pPr>
        <w:pStyle w:val="Heading2"/>
      </w:pPr>
      <w:r>
        <w:t>Erwägungen</w:t>
      </w:r>
    </w:p>
    <w:p>
      <w:r>
        <w:rPr>
          <w:b/>
        </w:rPr>
        <w:t>E. 18</w:t>
      </w:r>
    </w:p>
    <w:p>
      <w:r>
        <w:t>décembre 1987 erwähnten Regionen abgebauten Stellen von 58 auf 26. Damit liegen die ordentlichen Einsparungen ungefähr im Landesdurchschnitt. 2. In den Regionen der Kantone Jura, Neuchâtel und Frei- burg sowie im Berner Jura liegen die Zahlen im Rahmendes schweizerischen Mittelwertes, d. h. ungefähr bei 10 Prozent. 3. Die in den vergangenen zehn Jahren durch die SBB praktizierte Sparpolitik in Form von Stationsumwandlungen, Zentralisierung im Cargo Domizil und Cargo Rail, Rangier-, Bahndienst und Zugspersonaleinsatz wurde bisher nur unter dem Gesichtspunkt der «Weisungen über die Berück- sichtigung der Kantone bei der Schaffung oder Verlegung von Arbeitsplätzen des Bundes» vom 25. Februar 1981 oder der «Weisungen über die regionalpolitsche Koordination der Bundestätigkeit» vom 26. November 1986 betrachtet. Es ist jedoch vorgesehen, diese Probleme und auch die in Punkt 4 und 5 vom Interpellanten angesprochenen Frage- stellungen in nächster Zeit zwischen den SBB, dem Bundes- amt für Verkehr und dem Bundesamt für Industrie, Gewerbe und Arbeit zu erörtern. 4. Diese Frage berührt im Kern das schon lange bestehende Dilemma in bezug auf Artikel 3 des SBB-Gesetzes. Darin verpflichtet Absatz 1 die SBB, auf volks- und damit auf regionalpolitische Interessen Rücksicht zu nehmen, wäh- rend Absatz 2 des gleichen Artikels eine betriebswirtschaft- lich orientierte Unternehmungsführung fordert. Der von den Eidgenössischen Räten verabschiedete Lei- stungsauftrag 1987 konkretisiert diese zweifache Zielset- zung. Er trennt die SBB in einen markt- und einen gemein- wirtschaftlichen Bereich. Für den erstgenannten Bereich überträgt er den SBB aus- drücklich die volle unternehmerische Freiheit. Dort hat eine vom Bund unbeeinflusste, vorwiegend betriebswirtschaft- lich orientierte Handlungsweise absolut Vorrang. Das betrifft insbesondere den Güterverkehr. Aber auch im gemeinwirtschaftlichen Bereich sind die SBB gehalten, ihre Leistungen wirtschaftlich zu erbringen. Zudem ist es meistens nicht möglich, Rationalisierungs- massnahmen eindeutig einem bestimmten Leistungsbe- reich zuzuordnen. 5. Diese Frage ist bereits unter Punkts beantwortet. 6. Der Bundesrat kann keine verbindlichen Zusicherungen für neue Bundesstellen in den wirtschaftlich bedrohten Ost- schweizer Regionen abgeben. Präsident: Der Interpellant ist von der Antwort des Bundes- rates nicht befriedigt. #ST# 87.552 Interpellation Müller-Meilen Autoreisezüge Deutschland-Italien Transport de voitures accompagnées entre l'Allemagne et l'Italie Wortlaut der Interpellation vom 22. September 1987 Nach den Unwetterkatastrophen in diesem Sommer und der teilweise anhaltenden Behinderung des Strassenverkehrs auf der Gotthardstrasse stellt sich die Frage, ob nicht innert nützlicher Frist als Ueberbrückungs- und langfristige Mass- nahme die Bahn vermehrt in den Dienst des Autotransports gestellt werden könnte. I.Weiche Möglichkeiten bestehen, um den Autotransport auf einer «rollenden Strasse» durch den Gotthard wieder aufzunehmen und bis zu welchem Zeitpunkt wäre dies mög- lich? 2. Könnten nicht Autoreisezüge Deutschland-Italien in bei- den Richtungen durch den Gotthard und durch den Lötsch- berg-Simplon geführt werden? 3. Welchen Stand hat die Planung einer Verbesserung des Autoverlads am Lötschberg-Simplon unter Entlastung des Kandertales erreicht? 4. Welche Möglichkeiten zu einer vermehrten Verlagerung des Gütertransports auf die Schiene sind gegeben? Texte de l'interpellation du 22 septembre 1987 Après les catastrophes dues aux intempéries qui se sont produites cet été et compte tenu des entraves au trafic routier qui subsistent au Saint-Gothard, on peut se deman- der s'il ne faudrait pas confier de plus en plus au chemin de fer le transport de voitures, en tant que mesure aussi bien transitoire qu'à long terme.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