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87.522 vom 9. Oktober 1987</w:t>
      </w:r>
    </w:p>
    <w:p>
      <w:r>
        <w:t>Bundesverwaltung, 1987-10-09, DE</w:t>
      </w:r>
    </w:p>
    <w:p>
      <w:r>
        <w:rPr>
          <w:b/>
        </w:rPr>
        <w:t xml:space="preserve">Quelle: </w:t>
      </w:r>
      <w:r>
        <w:t>https://mcp.opencaselaw.ch/entscheid/ch_vb_87.522</w:t>
      </w:r>
    </w:p>
    <w:p>
      <w:r>
        <w:t>FR: CH_VB 87.522 du 9 octobre 1987</w:t>
      </w:r>
    </w:p>
    <w:p>
      <w:r>
        <w:t>IT: CH_VB 87.522 del 9 ottobre 1987</w:t>
      </w:r>
    </w:p>
    <w:p>
      <w:pPr>
        <w:pStyle w:val="Heading2"/>
      </w:pPr>
      <w:r>
        <w:t>Erwägungen</w:t>
      </w:r>
    </w:p>
    <w:p>
      <w:r>
        <w:rPr>
          <w:b/>
        </w:rPr>
        <w:t>E. 9</w:t>
      </w:r>
    </w:p>
    <w:p>
      <w:r>
        <w:t>octobre 1987 wurde geltend gemacht, es sei nicht einsichtig, weshalb in öffentlichen Angelegenheiten mitreden solle, wer etwa wegen Verschwendung nicht fähig sei, die eigenen Angele- genheiten zu besorgen. Ausserdem wurden Missbräuche (Stimmenfang) befürchtet. Die Regelung von Artikel 2 BPR hat in den meisten Kantonen überzeugt, so dass zwei Drittel der Kantone diese Lösung seit 1978 auch für kantonale Urnengänge übernommen und ins ordentliche kantonale Recht eingeführt haben. Ob die neue Regelung seitens der vom Stimmrecht Ausge- schlossenen als Diskriminierung empfunden werde, bleibe dahingestellt. Immerhin ist seither zu dieser Frage weder beim Bundesgericht eine Stimmrechtsbeschwerde noch beim Bundesrat eine Reklamation eingegangen. Ob dies auf eine mangelnde Fähigkeit zur Intervention seitens eines Betroffenen oder auf das Fehlen entsprechender Gefühle eines Diskriminiertseins zurückzuführen ist, kann nicht schlüssig beantwortet werden. Statistisch ist schwer zu erfassen, wieviele Bürger von der neuen Regelung noch betroffen sind: Angaben über die Gesamtzahl der Vormundschaften fehlen; die statistische Basis über neue Bevormundungen seit 1978 erfasst einen allzu kurzen Zeitraum, und vor allem fehlen statistische Angaben über Bevormundungen eidgenössisch und kanto- nal völlig, kommunal weitgehend. In der Stadt Bern wurden von 1978 bis 1985 insgesamt 1015 Personen bevormundet, wovon 114 wegen Geisteskrankheit oder Geistesschwäche (vgl. Statistisches Amt der Stadt Bern: Jahrbücher 1978-1986); doch geht aus den Angaben nicht hervor, wie- viele Bevormundungen Schweizer, wieviele Ausländer betrafen. Auch ist nicht ersichtlich, wieviele der total 165 Aufhebungen von Vormundschaften im gleichen Zeit- raum auf Personen entfielen, die wegen Geisteskrankheit oder Geistesschwäche entmündigt worden waren, wieviele von ihnen im gleichen Zeitraum starben und für wieviele von ihnen die Vormundschaft in eine Beistand- oder Beiratschaft umgewandelt werden konnte (total 26 Fälle im gleichen Zeitraum). In der Rechtsanwendung wird Artikel 369 ZGB, auf den sich Artikel 2 BPR abstützt, mit wachsender Zurückhaltung angewendet: so erlauben weder schwerer Verfolgungswahn noch massive Charakteranomalien die Entmündigung auf- grund von Artikel 369 ZGB, und auch betagte Personen werden selbst bei schweren altersbedingten Abbauerschei- nungen in aller Regel nicht mehr entmündigt (vgl. H. Brönni- mann: Rechtliche und soziale Aspekte der Entmündigung in der Praxis, Zeitschrift für Vormundschaftswesen (ZV) 41 (1986) 83f.); in der Wissenschaft ist die Ausdehnung dieser Praxis auf jüngere Geisteskranke oder -schwache angeregt worden (M. Stettier: Un droit tutélaire moins stigmatisant pourrait-il assurer une protection juridique suffisante?, Revue du droit de tutelle 41 (1986) 17-29). Wo im Einzelfall der Verlust des Stimmrechts als diskriminierend empfunden wird, scheint sich also in Lehre wie Praxis ein Weg abzu- zeichnen, der das Anliegen der Motion angemessen berück- sichtigen lässt. Wo hingegen die Massnahme keinerlei Gefühle der Diskriminierung weckt, dürfte sich eine zusätzli- che, generelle Erweiterung des Stimmrechts kaum auf- drängen. Der Bundesrat möchte die Entwicklung in Doktrin und Pra- xis beobachten und abwarten, bevor er darüber entscheidet, ob sich eine Streichung oder Einschränkung von Artikel 2 BPR aufdrängt. Auch erscheint es angezeigt, weitere statisti- sche Unterlagen kommunaler Verwaltungen zu beschaffen und, soweit vorhanden, auszuwerten, damit ein Entscheid aufgrund gesicherter Erkenntnisse über Sinn und Tragweite einer generell-abstrakten Regelungsänderung getroffen werden kann. Schriftliche Erklärung des Bundesrates Déclaration écrite du Conseil fédéral Der Bundesrat beantragt, die Motion in ein Postulat umzu- wandeln. Ueberwiesen als Postulat - Transmis comme postulat #ST# 87.474 Motion der sozialdemokratischen Fraktion Elektronisches Abstimmungsverfahren im Nationalrat Mozione del gruppo socialista Voto elettronico in Consiglio nazionale Motion du groupe socialiste Vote électronique au Conseil national Wortlaut der Motion vom 17. Juni 1987 Das Ratsbüro wird ersucht, eine elektronische Anlage für die Abstimmungen einrichten zu lassen und eine entspre- chende Revision der Artikel 75 bis 77 des Geschäftsregle- mentes des Nationalrates einzuleiten. Testo della mozione del 17 giugno 1987 L'Uffico presidenziale è invitato a procedere all'istallazione di un dispositivo elettronico per le votazioni, procedendo di conseguenza a una revisione degli articoli 75, 76 e 77 del regolamento del Consiglio nazionale. Texte de la motion du 17 juin 1987 Le Bureau est chargé de procéder à l'installation d'un dispo- sitif de vote et de proposer par conséquent la révision des les articles 75, 76 et 77 du règlement du Conseil national. Sprecher- Porte-parole: Robbiani Schriftliche Begründung - Développement par écrit Le vote électronique a été introduit dans les principaux Parlements européens dès les années 50. Les résultats ayant donné satisfaction, personne n'est est revenu aux systèmes traditionnels de vote. L'installation électronique a permis de réduire la durée des votes et d'en améliorer la précision. En réponse à la motion du groupe indépendant et évangéli- que (8 mars 1984), le Bureau du Conseil national a admis qu'un dispositif électronique permettrait de rationaliser et de clarifier les processus de décision. Si l'on compare les aspects positifs et les aspects négatifs énumérés dans les rapports du Bureau datant de 1979 (en réponse à un postulat du groupe socialiste du 20 avril 1978) et de 1984, le bilan est en toute objectivité nettement favo- rable. Le dispositif qui permettrait de moderniser notre système de travail sans bouleverser les règles appliquées au Parlement n'a pas pu, jusqu'ici, être utilisé faute d'une volonté politique de la majorité et, peut-être, en raison d'une connaissance insuffisante des avantages offerts par le système de vote électronique. Depuis la dernière décision négative à ce sujet (14 décem- bre 1984), certaines choses ont changé: 1. on recourt de plus en plus au vote par appel nominal; 2. ce système de vote, garanti par l'article 77 du règlement, est ressenti par certains comme une provocation et par d'autres comme une perte de temps (un appel nominal dure en moyenne 20 minutes); 3. les arguments négatifs avancés en 1979 et en 1984, notamment la complexité technique et logistique du sys- tème, sont maintenant sans valeur: en effet, la nouvelle technologie offre des installations simples, peu encom- brantes, absolument sûres et guère coûteuses; 4. l'identification de l'auteur du vote fait désormais partie des chroniques parlementaires des médias; 5. le vote par assis et debout ne constitue pas un spectacle attrayant et moderne et, du reste, des erreurs sont toujours possibles en dépit de l'attention et du zèle des scrutateurs; 6. à chaque session, nous sommes appelés à voter 120 fois</w:t>
      </w:r>
    </w:p>
    <w:p>
      <w:r>
        <w:t>Schweizerisches Bundesarchiv, Digitale Amtsdruckschriften Archives fédérales suisses, Publications officielles numérisées Archivio federale svizzero, Pubblicazioni ufficiali digitali Motion Braunschweig Bundesgesetz über die politischen Rechte. Streichung von Artikel 2 Motion Braunschweig Loi sur les droits politiques. Abrogation de l'article 2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87.522 Numéro d'objet Numero dell'oggetto Datum 09.10.1987 - 08:00 Date Data Seite 1451-1452 Page Pagina Ref. No 20 015 769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