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87.510 vom 18. Mai 1988</w:t>
      </w:r>
    </w:p>
    <w:p>
      <w:r>
        <w:t>Bundesverwaltung, 1988-05-18, DE</w:t>
      </w:r>
    </w:p>
    <w:p>
      <w:r>
        <w:rPr>
          <w:b/>
        </w:rPr>
        <w:t xml:space="preserve">Quelle: </w:t>
      </w:r>
      <w:r>
        <w:t>https://mcp.opencaselaw.ch/entscheid/ch_vb_87.510</w:t>
      </w:r>
    </w:p>
    <w:p>
      <w:r>
        <w:t>FR: CH_VB 87.510 du 18 mai 1988</w:t>
      </w:r>
    </w:p>
    <w:p>
      <w:r>
        <w:t>IT: CH_VB 87.510 del 18 maggio 1988</w:t>
      </w:r>
    </w:p>
    <w:p>
      <w:pPr>
        <w:pStyle w:val="Heading2"/>
      </w:pPr>
      <w:r>
        <w:t>Erwägungen</w:t>
      </w:r>
    </w:p>
    <w:p>
      <w:r>
        <w:rPr>
          <w:b/>
        </w:rPr>
        <w:t>E. 1</w:t>
      </w:r>
    </w:p>
    <w:p>
      <w:r>
        <w:t>Le 23 décembre 1986, le DFJP a envoyé en procédure de consultation un avant-projet de révision des ordonnances fédérales sur le placement d'enfants et sur l'activité d'inter- médiaires en vue de l'adoption. Cet avant-projet, élaboré par un groupe de travail, prescrivait notamment que, lors de l'enquête qui doit être effectuée avant tout placement d'en- fants, l'autorité doit faire preuve d'une attention particulière - aussi bien lorsqu'il s'agit du placement d'un enfant suisse que de celui d'un enfant du tiers monde - lorsque, en raison des circonstances, de grandes aptitudes doivent être exi- gées des parents nourriciers. Des exemples de telles cir- constances étaient ensuite énoncés dans le texte proposé par le groupe de travail. En outre, en ce qui concerne plus spécialement l'adoption d'enfants du tiers monde, l'avant- projet de révision prévoyait qu'en règle générale les futurs parents adoptifs devaient accueillir des enfants issus de la même aire culturelle. En effet, lorsqu'un enfant du tiers monde est élevé dans notre pays, le fait qu'il ait été adopté ne peut guère être caché. Aussi les spécialistes en matière d'adoption estiment-ils que les parents adoptifs devraient être en mesure d'apprendre à leurs enfants à connaître la culture de leur pays d'origine et même de leur inculquer un certain sentiment patriotique à l'égard de ce dernier. Or, les parents adoptifs pourront accomplir plus facilement ce genre de tâches si leurs enfants sont issus de la même aire culturelle. Contrairement à ce que l'on a parfois prétendu dans le public, la disposition qui avait trait à cette question n'avait donc aucune connotation xénophobe. Quoi qu'il en soit, le groupe de travail chargé de remanier l'avant-projet à la lumière des résultats de la procédure de consultation l'a déjà biffée depuis longtemps.</w:t>
      </w:r>
    </w:p>
    <w:p>
      <w:r>
        <w:rPr>
          <w:b/>
        </w:rPr>
        <w:t>E. 2</w:t>
      </w:r>
    </w:p>
    <w:p>
      <w:r>
        <w:t>Bien qu'il pense que la mise en oeuvre d'une telle mesure soulèverait des difficultés, le Conseil fédéral est prêt à exa- miner la question de l'obligation, pour les parents qui dési- rent adopter un enfant, de passer par un. intermédiaire reconnu. Mais si l'on voulait adopter cette proposition, il faudrait en tout cas procéder à une révision du code civil; cette révision, qui nécessiterait un travail approfondi, pour- rait être entreprise lors de la réforme du droit de la tutelle. Néanmoins, il importe d'ores et déjà de souligner que l'obli- gation de passer par un intermédiaire poserait des pro- blèmes délicats. Il faudrait par exemple prévoir, pour les candidats à l'adoption, une voie de recours contre les déci- sions de l'intermédiaire. De plus, les intermédiaires ne pour- raient plus, comme ils le font actuellement, défendre des «philosophies» différentes. Enfin, il faudrait veiller à ce que les intermédiaires disposent d'infrastructures suffisantes pour l'exercice de leurs fonctions. Pour toutes ces raisons, il n'est pas impossible que, en cas d'obligation de passer par un intermédiaire, une «professionnalisation» de cette acti- vité doive être envisagée.</w:t>
      </w:r>
    </w:p>
    <w:p>
      <w:r>
        <w:rPr>
          <w:b/>
        </w:rPr>
        <w:t>E. 3</w:t>
      </w:r>
    </w:p>
    <w:p>
      <w:r>
        <w:t>Wofür kann die militärische Ausbildung der zivilen Ausbil- dung positive Impulse geben? Welcher Art wären diese Impulse?</w:t>
      </w:r>
    </w:p>
    <w:p>
      <w:r>
        <w:rPr>
          <w:b/>
        </w:rPr>
        <w:t>E. 4</w:t>
      </w:r>
    </w:p>
    <w:p>
      <w:r>
        <w:t>Wird eine auf Methodik und Technik beschränkte Darstel- lung, die die Auswirkungen bei der Anwendung des Gelern- ten ausklammert, einem ganzheitlichen pädagogischen Ver- ständnis gerecht? Wird eine solche Darstellung der Beson- derheit der militärischen Ausbildung gerecht?</w:t>
      </w:r>
    </w:p>
    <w:p>
      <w:r>
        <w:rPr>
          <w:b/>
        </w:rPr>
        <w:t>E. 5</w:t>
      </w:r>
    </w:p>
    <w:p>
      <w:r>
        <w:t>Unterscheidet sich das Ziel der zivilen Ausbildung von jenem der militärischen? Dient die gemeinsame Präsenta- tion der beiden Ausbildungsarten allenfalls einer Verharmlo- sung des militärischen Ausbildungsziels?</w:t>
      </w:r>
    </w:p>
    <w:p>
      <w:r>
        <w:rPr>
          <w:b/>
        </w:rPr>
        <w:t>E. 6</w:t>
      </w:r>
    </w:p>
    <w:p>
      <w:r>
        <w:t>Verlangt die Legislaturplanung 1988-1991 des Bundesra- tes mit ihrer Ausrichtung auf qualitatives Wachstum nicht die unbedingte Stärkung jener Fähigkeiten und Fertigkeiten der Menschen, die ihnen ein Leben im Einklang mit der Natur ermöglichen - und somit eine Aufhebung der Teilung in eine konstruktive (zivile) Ausbildung einerseits, eine destruktive (militärische) Ausbildung anderseits?</w:t>
      </w:r>
    </w:p>
    <w:p>
      <w:r>
        <w:rPr>
          <w:b/>
        </w:rPr>
        <w:t>E. 7</w:t>
      </w:r>
    </w:p>
    <w:p>
      <w:r>
        <w:t>Hält es der Bundesrat für möglich, Menschen aus Ver- nunft zu friedlicher und gewaltfreier Austragung von Kon- flikten zu erziehen und sie gleichzeitig auf die beherrschte Anwendung von Gewalt «im äussersten Fall» vorzube- reiten?</w:t>
      </w:r>
    </w:p>
    <w:p>
      <w:r>
        <w:rPr>
          <w:b/>
        </w:rPr>
        <w:t>E. 8</w:t>
      </w:r>
    </w:p>
    <w:p>
      <w:r>
        <w:t>Ist es angesichts der internationalen Lage und des welt- weit bestehenden Zerstörungspotentials überhaupt vertret- bar, die Ausbildung zum Krieg zu präsentieren, ohne zumin- dest Ansätze einer Erziehung zum Frieden deutlich zu machen, die so unvergleichlich viel schwieriger ist? Ist dies insbesondere in einem neutralen Kleinstaat vertretbar?</w:t>
      </w:r>
    </w:p>
    <w:p>
      <w:r>
        <w:rPr>
          <w:b/>
        </w:rPr>
        <w:t>E. 9</w:t>
      </w:r>
    </w:p>
    <w:p>
      <w:r>
        <w:t>Sollten im Zusammenhang mit der Behandlung der Initia- tive «Schweiz ohne Armee» militärische Leistungen auch in anderen Bereichen als der Ausbildung publikumswirksam</w:t>
      </w:r>
    </w:p>
    <w:p>
      <w:r>
        <w:t>Schweizerisches Bundesarchiv, Digitale Amtsdruckschriften Archives fédérales suisses, Publications officielles numérisées Archivio federale svizzero, Pubblicazioni ufficiali digitali Interpellation Bühler Pferdelieferanten der Armee Interpellation Bühler Fournisseurs de chevaux de l'armée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w:t>
      </w:r>
    </w:p>
    <w:p>
      <w:r>
        <w:rPr>
          <w:b/>
        </w:rPr>
        <w:t>E. 14</w:t>
      </w:r>
    </w:p>
    <w:p>
      <w:r>
        <w:t>Séance Seduta Geschäftsnummer 87.510 Numéro d'objet Numero dell'oggetto Datum 23.06.1988 - 08:00 Date Data Seite 955-956 Page Pagina Ref. No 20 016 487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