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87.461 vom 18. März 1988</w:t>
      </w:r>
    </w:p>
    <w:p>
      <w:r>
        <w:t>Bundesverwaltung, 1988-03-18, DE</w:t>
      </w:r>
    </w:p>
    <w:p>
      <w:r>
        <w:rPr>
          <w:b/>
        </w:rPr>
        <w:t xml:space="preserve">Quelle: </w:t>
      </w:r>
      <w:r>
        <w:t>https://mcp.opencaselaw.ch/entscheid/ch_vb_87.461</w:t>
      </w:r>
    </w:p>
    <w:p>
      <w:r>
        <w:t>FR: CH_VB 87.461 du 18 mars 1988</w:t>
      </w:r>
    </w:p>
    <w:p>
      <w:r>
        <w:t>IT: CH_VB 87.461 del 18 marzo 1988</w:t>
      </w:r>
    </w:p>
    <w:p>
      <w:pPr>
        <w:pStyle w:val="Heading2"/>
      </w:pPr>
      <w:r>
        <w:t>Erwägungen</w:t>
      </w:r>
    </w:p>
    <w:p>
      <w:r>
        <w:rPr>
          <w:b/>
        </w:rPr>
        <w:t>E. 18</w:t>
      </w:r>
    </w:p>
    <w:p>
      <w:r>
        <w:t>März 1988 N 429 Motion Eppenberger Susi tung/Zusätzliche Massnahmen» (86.047) gefordert. Sie wurde vom Nationalrat in der Frühjahrs- und vom Ständerat in der Sommersession überwiesen. Das gleiche Ziel verfolgt die Motion Basler (87.454) vom 16. Juni 1987. Der Nationalrat hat sie am 9. Oktober 1987 in ein Postulat umgewandelt. Aufgrund der in der Zwischenzeit weitgehend abgeschlos- senen Abklärungen beabsichtigt der Bundesrat, im Rahmen des Luftreinhalte-Konzepts dem Parlament eine grössere Differenzierung in der Zollbelastung zwischen verbleitem und unverbleitem Benzin vorzuschlagen und gleichzeitig das Verfahren zur Aenderung der gesetzlichen Bestimmun- gen einzuleiten. Er ist deshalb der Auffassung, dass es verfrüht wäre, die Differenz in der Zollbelastung bereits im Rahmen dieses Vorstosses definitiv festzulegen und so den Handlungsspielraum von Bundesrat unde Parlament einzu- schränken. 2. Einfuhrverbot für bleihaltiges Benzin Die Blei-Emissionen erreichten im Jahre 1971 die höchsten Werte. Durch eine sukzessive Senkung des Bleigehalts im Super- und Normalbenzin wurde der Bleiausstoss der Motorfahrzeuge wesentlich verringert. Die Blei-Emissionen werden deshalb auch ohne zusätzliche Massnahmen bis im Jahre 1991 ungefähr auf den Stand von 1950 und später noch weiter zurückgehen. Durch eine Unterbindung der Zufuhr von verbleitem Benzin würde ein Viertel des schweizerischen Fahrzeugparks, d. h. 700 000 Personenwagen, vorzeitig ausser Verkehr gesetzt. Da ein Ersatz des verbleiten durch ein unverbleites hochok- tanisches Benzin (98 ROZ) wegen beträchtlicher Investi- tionskosten in nächster Zukunft auf dem Markt kaum zu erwarten ist, könnten diese Fahrzeuge, nach Abbau der Inlandlager an verbleitem Benzin, nicht mehr betrieben wer- den. Sie wären deshalb zu verschrotten. Der daraus entste- hende Verlust dürfte schätzungsweise zwei bis drei Milliar- den Franken ausmachen. Vom Einfuhrverbot wäre auch der Bund betroffen. Konse- quenterweise hätte er seine mit bleihaltigem Benzin betrie- benen Fahrzeuge und Stationärmotoren zu ersetzen, was Kosten von eineinhalb Milliarden Franken verursachen würde. Ferner ist darauf hinzuweisen, dass mit der geforderten Massnahme einer Gruppe von Fahrzeughaltern eine beträchtliche finanzielle Einbusse zugemutet würde, wäh- rend andererseits ebenso viele Automobilisten mit Fahrzeu- gen ohne Katalysator, die mit bleifreiem, zollbegünstigtem Benzin betankt werden können, die Umwelt - wenn auch in geringerem Ausmass - weiterhin mit Stickoxiden und Koh- lenwasserstoffen belasten würden. Zur Wahrung der Interessen des Fremden- und Transitver- kehrs wären für ausländische Fahrzeugführer Ausnahmen vorzusehen. Der Bundesrat ist aber der Auffassung, dass aus Gründen der Rechtsgleichheit eine unterschiedliche Behandlung der ausländischen gegenüber den inländi- schen Fahrzeughaltern nicht zu vertreten ist. An der Grenze wäre die Umgehung des Einfuhrverbots durch Benzintourismus mittels besonderer Kontrollen zu verhindern. Diese Massnahme könnte jedoch nicht ohne zusätzliches Personal bewältigt werden. Zusammenfassend erachtet der Bundesrat eine vorzeitige Ausmerzung eines Viertels des Personenwagenbestands wegen der daraus entstehenden Folgekosten als unverhält- nismässig und nicht zumutbar. Schriftliche Erklärung des Bundesrates Déclaration écrite du Conseil fédéral Der Bundesrat beantragt, den I.Teil der Motion in ein Postulat umzuwandeln und den 2. Teil abzulehnen. Jaeger: Ich kann mich mit den Anträgen des Bundesrates einverstanden erklären: Umwandlung von Punkt 1 - Preis- differenzierung zwischen unverbleitem und verbleitem Ben- zin - in ein Postulat; und ich bin, zwar ungern, einverstan- den mit der Ablehnung von Punkt 2. Ich gebe Ihnen hier aber eine Präzisierung ab zum Punkt 1, Preisdifferenzierung: Es ist so, dass wir aus der Finanzkom- mission wissen - Herr Bundespräsident Stich hat uns bereits über seine Vorstellungen informiert -, dass Pläne bestehen, das unverbleite Benzin zu verbilligen. Dieser Vor- schlag steht im Zusammenhang mit der Diskussion über die Rückstellungen von Treibstoffzolleinnahmen bzw. deren Verteilung. Man muss sich die Konsequenzen vorstellen, die aus einem solchen Konzept resultieren; wenn nämlich der Verbrauch an unverbleitem Benzin im Zuge der Vermehrung von Katalisatorautos zunimmt, kommt das letztlich auf eine Verbilligung des Treibstoffes heraus, was sicher nicht Sinn der ganzen Uebung sein kann. Wenn wir also mit unserer Motion eine Differenzierung fordern, meinen wir damit ganz klar, dass eine solche Preis- oder Zollpolitik ertragsneutral sein muss und letzten Endes nicht auf eine Verbilligung des Treibstoffes insgesamt hinauslaufen darf. Ich sage das im Interesse einer korrekten Interpretation und Präzisierung dieses Vorstosses und möchte damit gleichzeitig die diesbe- zügliche Differenz zwischen unseren Vorstellungen und den Vorstellungen von Herrn Bundespräsident Stich aufgezeigt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