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87.444 vom 9. Oktober 1987</w:t>
      </w:r>
    </w:p>
    <w:p>
      <w:r>
        <w:t>Bundesverwaltung, 1987-10-09, DE</w:t>
      </w:r>
    </w:p>
    <w:p>
      <w:r>
        <w:rPr>
          <w:b/>
        </w:rPr>
        <w:t xml:space="preserve">Quelle: </w:t>
      </w:r>
      <w:r>
        <w:t>https://mcp.opencaselaw.ch/entscheid/ch_vb_87.444</w:t>
      </w:r>
    </w:p>
    <w:p>
      <w:r>
        <w:t>FR: CH_VB 87.444 du 9 octobre 1987</w:t>
      </w:r>
    </w:p>
    <w:p>
      <w:r>
        <w:t>IT: CH_VB 87.444 del 9 ottobre 1987</w:t>
      </w:r>
    </w:p>
    <w:p>
      <w:pPr>
        <w:pStyle w:val="Heading2"/>
      </w:pPr>
      <w:r>
        <w:t>Erwägungen</w:t>
      </w:r>
    </w:p>
    <w:p>
      <w:r>
        <w:rPr>
          <w:b/>
        </w:rPr>
        <w:t>E. 9</w:t>
      </w:r>
    </w:p>
    <w:p>
      <w:r>
        <w:t>Oktober 1987 N 1447 Motion Grassi gung der Publikations-, Einsprache- und Beschwerdefristen vergehen vom Moment der Gesuchstellung bis zum Zeit- punkt, in dem die Bewilligung in Rechtskraft erwächst, im besten Falle annähernd drei Monate. Der Vollzug des Arbeitsgesetzes kann heute systematisch behindert werden, und die Betriebe sind unter Umständen nicht in der Lage, zu der von ihnen gewünschten ausserordentlichen Arbeitszeit zu produzieren, sich neuen Gegebenheiten anzupassen oder ihrem variablen Bestellungseingang zu entsprechen. Es liegt im wirtschaftlichen Gesamtinteresse, nicht bloss nach flexiblen Arbeitszeitmodellen, sondern auch nach ein- facheren, unbürokratischen und raschen Kontrollmechanis- men zu suchen. Schriftliche Stellungnahme des Bundesrates vom 21. September 1987 Rapport écrit du Conseil fédéral du 21 septembre 1987 Der Bundesrat ist sich der Tragweite der vom Motionär aufgeworfenen Frage bewusst. Tatsächlich sind die Wirt- schaft unseres Landes im allgemeinen und die Industrie im besonderen mehr denn je darauf angewiesen, rasch vor allem auf die sich stetig verändernde Konkurrenzsituation gegenüber dem Ausland und die technologische Entwick- lung reagieren zu können. Nur wenn sie über ein grosses Mass an Beweglichkeit verfügen, können sie diesen Heraus- forderungen erfolgreich begegnen. Das mit der arbeitsgesetzlichen Bewilligungspflicht für Schichtarbeit, Nachtarbeit usw. zusammenhängende Ver- fahren, das aufgrund eines Bundesgerichtsentscheides erschwert worden ist, wirkt sich auf die Beweglichkeit der gesuchstellenden Betriebe aus. Tatsächlich dauert das Ver- fahren lange und der damit verbundene Unsicherheitsfaktor kann auch für Investitionsvorhaben ungünstige Folgen haben. Nicht nur für die betroffenen Betriebe, sondern auch für die Vollzugsbehörden des Bundes und der Kantone bringt das Bewilligungsverfahren eine grosse Belastung mit sich. Die Verpflichtung, Arbeitszeitgesuche und -bewilligungen zu publizieren, bedeutet für die Bewilligungsbehörden erhebli- che Mehrarbeit. Ueberdies ist zu berücksichtigen, dass die Bewilligungs- pflicht nicht für alle dem Arbeitsgesetz unterstehenden Betriebe gilt, also heute zweierlei Recht besteht. Rund 40 Betriebsarten (z. B. Spitäler, Gastbetriebe und viele mehr) können die sie interessierenden Arbeitszeitsysteme gemäss Sonderbestimmungen ohne behördliche Bewilli- gung anordnen. Daraus ergibt sich eine ungleiche Behand- lung insbesondere der industriellen Betriebe gegenüber den zu diesen rund 40 nicht-industriellen Betriebsarten gehören- den Betrieben. Auf der anderen Seite übt die Arbeitszeitbewilligung für die Arbeitnehmer eine doppelte Schutzfunktion aus; denn sie wird nur erteilt, wenn einerseits ein Bedürfnis nachgewiesen werden kann und andererseits der nachgesuchte Stunden- plan den gesetzlichen Vorschriften entspricht. Die Arbeits- zeitbewilligung nimmt im Rahmen der zum Schutz der Arbeitnehmer aufgestellten Vorschriften einen nicht unbe- deutenden Platz ein. Angesichts der mit diesem System sowohl für die Betriebe wie die Bewilligungsbehörden verbundenen Nachteile ist allerdings die Frage ernsthaft zu prüfen, ob ein wirksamer Schutz der Arbeitnehmer nicht auch mit geringerem admini- strativem und zeitlichem Aufwand und ohne grosse Beein- trächtigung der betrieblichen Beweglichkeit durch andere Kontrollmassnahmen sicherzustellen wäre. Diese Frage ist komplex. Einerseits handelt es sich um eine sehr technische Materie, und andererseits sind hier teils widerstreitende Interessen im Spiel: der Anspruch der Arbeitnehmer auf einen wirksamen Schutz steht dem Inter- esse der Betriebe an einem Verfahren gegenüber, das ihrem Bedürfnis nach Beweglichkeit entgegenkommt. Immerhin könnte man prüfen, ob diesen berechtigten Anliegen durch andere, einfachere Verfahren, z. B. eine Melde- anstelle der Bewilligungspflicht, ausgewogen Rechnung getragen wer- den kann. Die Eidgenössische Arbeitskommission ist als Experten- kommission zurzeit mit den Vorarbeiten zu einer Teilrevision des Arbeitsgesetzes befasst. Im Rahmen dieser Vorarbeiten sollte auch die vom Motionär aufgeworfene Frage geprüft werden, ob es angezeigt sei, das Bewilligungsverfahren aufzugeben und welche andere Lösung an dessen Stelle zu setzen wäre. Die Zusammensetzung der Kommission, in der namentlich Vertreter der Sozialpartner-Organisationen sit- zen, wird sicherstellen, dass bei der Suche nach Lösungen die Standpunkte der interessierten Kreise zum Ausdruck kommen und berücksichtigt werden. In diesem Sinn schlägt der Bundesrat vor, die Motion in ein Postulat umzuwandeln. Schriftliche Erklärung des Bundesrates Déclaration écrite du Conseil fédéral Der Bundesrat beantragt, die Motion in ein Postulat umzu- wandeln. Ueberwiesen als Postulat - Transmis comme postulat #ST# 87.464 Motion Grassi Strassenverkehr am Gotthard Mozione Grassi Traffico stradale al San Gottardo Motion Grassi Trafic routier au Gothard Wortlaut der Motion vom 17. Juni 1987 Der Bundesrat wird beauftragt, den beiden Räten gleichzei- tig mit der Botschaft über die Eisenbahn-Alpentransversale konkrete Vorschläge zu unterbreiten, wie die Missstände des Strassenverkehrs auf der N 2 im Gebiet der nördlichen und südlichen Zufahrtsrampe sowie im Gotthardtunnel beseitigt werden sollen. Im Hinblick darauf, dass 1. die zweite Gotthard-Tunnelröhre in absehbarer Zeit nicht gebaut wird, 2. dem Schutz der Umwelt vor Luftverschmutzung und Lärmbelästigung Priorität zukommt, 3. der Bevölkerung jener Gebiete nicht zugemutet werden kann, weiterhin übermässige Verschmutzungen und Belästi- gungen zu ertragen, 4. die Benutzer der Autobahn anderseits das Recht haben, in angemessenem Tempo zu fahren, müssen die Lösungsvorschläge insbesondere die folgenden Massnahmen einbeziehen: 1. die Wiedereinführung der Pendelzüge für den Transport der Autos, insbesondere der Lastwagen, durch den Gott- hard-Eisenbahntunnel; 2. technische Verbesserungen im jetzigen Eisenbahntunnel, um den Transport per Eisenbahn attraktiver zu gestalten; 3. die Möglichkeit, im bereits bestehenden Sicherheitsstol- len eine Fahrbahn für Personenwagen und/oder Lastzüge einzubauen; 4. die begrenzte Benutzung des Sicherheitsstollens bei aus- serordentlich starkem Verkehr. Testo della mozione del 17 giugno 1987 II Consiglio federale è incaricato di sottoporre alle camere, contemporaneamente al messaggio sulla trasversale ferro- viaria alpina, delle proposte concrete per eliminare gli inconvenienti del traffico stradale sulla N 2 alle rampe di accesso nord e sud e nella galleria del San Gottardo. Tenuto conto - che la seconda galleria stradale del San Gottardo non verrà costruita in tempi prevedibili;</w:t>
      </w:r>
    </w:p>
    <w:p>
      <w:r>
        <w:t>Schweizerisches Bundesarchiv, Digitale Amtsdruckschriften Archives fédérales suisses, Publications officielles numérisées Archivio federale svizzero, Pubblicazioni ufficiali digitali Motion Allenspach Arbeitszeitbewilligungsverfahren Motion Allenspach Durée du travail. Procédure d'autorisation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87.444 Numéro d'objet Numero dell'oggetto Datum 09.10.1987 - 08:00 Date Data Seite 1446-1447 Page Pagina Ref. No 20 015 766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