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87.419 vom 18. Dezember 1987</w:t>
      </w:r>
    </w:p>
    <w:p>
      <w:r>
        <w:t>Bundesverwaltung, 1987-12-18, DE</w:t>
      </w:r>
    </w:p>
    <w:p>
      <w:r>
        <w:rPr>
          <w:b/>
        </w:rPr>
        <w:t xml:space="preserve">Quelle: </w:t>
      </w:r>
      <w:r>
        <w:t>https://mcp.opencaselaw.ch/entscheid/ch_vb_87.419</w:t>
      </w:r>
    </w:p>
    <w:p>
      <w:r>
        <w:t>FR: CH_VB 87.419 du 18 décembre 1987</w:t>
      </w:r>
    </w:p>
    <w:p>
      <w:r>
        <w:t>IT: CH_VB 87.419 del 18 dicembre 1987</w:t>
      </w:r>
    </w:p>
    <w:p>
      <w:pPr>
        <w:pStyle w:val="Heading2"/>
      </w:pPr>
      <w:r>
        <w:t>Erwägungen</w:t>
      </w:r>
    </w:p>
    <w:p>
      <w:r>
        <w:rPr>
          <w:b/>
        </w:rPr>
        <w:t>E. 18</w:t>
      </w:r>
    </w:p>
    <w:p>
      <w:r>
        <w:t>décembre 1987 rendum zum Konzept «Bahn 2000» zustande gekommen und möglicherweise legt der Bundesrat den Abstimmungs- termin auf den 6. Dezember 1987 fest. Zur sachgerechten Orientierung von Stimmbürgerinnen und Stimmbürgern über diese Abstimmungsvorlage scheint mir die Ergänzung der ausgezeichneten Informationen über den zukünftigen Personenverkehr durch entsprechende Anga- ben über den zukünftigen Güterverkehr dringend not- wendig. Ich ersuche den Bundesrat um die Beantwortung der fol- genden Fragen: 1. Teilt der Bundesrat die in der Einleitung geschilderte Beurteilung der Situation? 2. Sind der Bundesrat oder allenfalls die zuständigen Instan- zen des öffentlichen Verkehrs in der Lage, die Information der Oeffentlichkeit durch entsprechende Konzepte für den Güterverkehr zu ergänzen? 3. Wie gedenkt der Bundesrat dieses Informationsbedürfnis zu decken? Texte de l'interpellation du 2 juin 1987 L'information donnée jusqu'à présent sur la «conception RAIL 2000» ne renseigne pas sur la réglementation future du trafic des marchandises, ce qui est une lacune à mon avis. Par ailleurs, la demande de référendum concernant la conception susmentionnée ayant abouti, il est possible que le Conseil fédéral fixe au 6 décembre 1987 la date de la votation sur cet objet. Afin d'instruire convenablement les citoyens sur cette ques- tion, il me semble qu'il est urgent de compléter l'excellente documentation concernant le futur trafic des personnes, par des explications équivalentes sur la forme que prendra à l'avenir le trafic des marchandises. Je demande au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