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87.418 vom 2. Juni 1987</w:t>
      </w:r>
    </w:p>
    <w:p>
      <w:r>
        <w:t>Bundesverwaltung, 1987-06-02, DE</w:t>
      </w:r>
    </w:p>
    <w:p>
      <w:r>
        <w:rPr>
          <w:b/>
        </w:rPr>
        <w:t xml:space="preserve">Quelle: </w:t>
      </w:r>
      <w:r>
        <w:t>https://mcp.opencaselaw.ch/entscheid/ch_vb_87.418</w:t>
      </w:r>
    </w:p>
    <w:p>
      <w:r>
        <w:t>FR: CH_VB 87.418 du 2 juin 1987</w:t>
      </w:r>
    </w:p>
    <w:p>
      <w:r>
        <w:t>IT: CH_VB 87.418 del 2 giugno 1987</w:t>
      </w:r>
    </w:p>
    <w:p>
      <w:pPr>
        <w:pStyle w:val="Heading2"/>
      </w:pPr>
      <w:r>
        <w:t>Erwägungen</w:t>
      </w:r>
    </w:p>
    <w:p>
      <w:r>
        <w:rPr>
          <w:b/>
        </w:rPr>
        <w:t>E. 1</w:t>
      </w:r>
    </w:p>
    <w:p>
      <w:r>
        <w:t>Wie beurteilt der Bundesrat den kantonalen und kommu- nalen Vollzug nach Inkrafttreten der eidgenössischen Luft- reinhalteverordnung vom I.März 1986 im Bereiche von Planung, Organisation, technischen Anforderungen, Infor- mation und Beratung?</w:t>
      </w:r>
    </w:p>
    <w:p>
      <w:r>
        <w:rPr>
          <w:b/>
        </w:rPr>
        <w:t>E. 2</w:t>
      </w:r>
    </w:p>
    <w:p>
      <w:r>
        <w:t>Welche finanziellen Mittel müssen für die Vollzugsmass- nahmen bei Kantonen und Gemeinden aufgewendet werden?</w:t>
      </w:r>
    </w:p>
    <w:p>
      <w:r>
        <w:rPr>
          <w:b/>
        </w:rPr>
        <w:t>E. 3</w:t>
      </w:r>
    </w:p>
    <w:p>
      <w:r>
        <w:t>Wie bewährt sich der Einbezug von privaten Unterneh- men für den Vollzug von Umweltschutzmassnahmen?</w:t>
      </w:r>
    </w:p>
    <w:p>
      <w:r>
        <w:rPr>
          <w:b/>
        </w:rPr>
        <w:t>E. 4</w:t>
      </w:r>
    </w:p>
    <w:p>
      <w:r>
        <w:t>Auf welche Weise findet der Erfahrungsaustausch zwi- schen dem Bund, den Kantonen und den grossen Agglome- rationen statt?</w:t>
      </w:r>
    </w:p>
    <w:p>
      <w:r>
        <w:rPr>
          <w:b/>
        </w:rPr>
        <w:t>E. 5</w:t>
      </w:r>
    </w:p>
    <w:p>
      <w:r>
        <w:t>Wie weit ist die Zusammenarbeit auf dem Umweltschutz- gebiet mit den Nachbarstaaten gediehen?</w:t>
      </w:r>
    </w:p>
    <w:p>
      <w:r>
        <w:rPr>
          <w:b/>
        </w:rPr>
        <w:t>E. 6</w:t>
      </w:r>
    </w:p>
    <w:p>
      <w:r>
        <w:t>Welche zusätzlichen Leistungen muss der Bund nach den Vollzugsarbeiten der Kantone noch aufbringen?</w:t>
      </w:r>
    </w:p>
    <w:p>
      <w:r>
        <w:rPr>
          <w:b/>
        </w:rPr>
        <w:t>E. 7</w:t>
      </w:r>
    </w:p>
    <w:p>
      <w:r>
        <w:t>Par quels moyens le Conseil fédéral prévoit-il d'informer à intervalles réguliers le Parlement sur l'exécution de la légis- lation par les cantons et les communes? Mitunterzeichner - Cosignataires: Aliesch, Blocher, Blunschy, Bremi, Camenzind, Cantieni, Eggly-Genf, Eppen- berger-Nesslau, Frey, Früh, Giudici, Grendelmeier, Hunzi- ker, Jeanneret, Loretan, Müller-Meilen, Nebiker, Oehler, Ogi, Petitpierre, Pfund, Pidoux, Rutishauser, Rüttimann, Salvioni, Schmidhalter, Schule, Spoerry, Steinegger, Stucky, Uhl- mann, Villiger, Weber-Schwyz, Weber Monika, Wellauer, Wick, Widmer, Wyss, Zbinden, Zwingli (40) Schriftliche Begründung - Développement par écrit Die Schweiz ist in der Umweltschutzgebung im Vergleich mit dem Ausland vorbildlich. Die grösste Schwierigkeit besteht aber im raschen Vollzug der Gesetze und Verord- nungen auf Stufe Kanton und Gemeinde. Der Bundesrat wird durch diese Interpellation aufgefordert, die Kontrolle über die Vollzugstätigkeit zu verstärken und das Parlament darüber zu informieren. Diese Berichterstattung dient dem breiten Erfahrungsaustausch und der Aufsicht über die finanziellen Aufwendungen. Sie fördert auch die Verbesse- rung unzulänglicher Abläufe und hilft mit, den Massnah- menkatalog einer stetigen Anpassung zu unterziehen. Es ist wichtig, dass die Umweltbedrohung nicht nur analysiert, sondern dass ein wirksamer Massnahmenkatalog auf Stufe Kanton und Gemeinde bald vollzogen wird. Schriftliche Stellungnahme des Bundesrates vom 21. September 1987 Rapport écrit du Conseil fédéral du 21 septembre 1987 1,2,3 und 6. Der Bundesrat hat die Luftreinhalteverordnung (LRV) auf den 1. März 1986 in Kraft gesetzt. Die Verordnung weist den Vollzug der Vorschriften weitestgehend den Kan- tonen zu. Als detaillierte technische Verordnung im komple- xen Bereich der Luftreinhaltung stellt sie an den Vollzug hohe Ansprüche. Mit dem Informations- und Ausbildungs- konzept des Eidgenössischen Departementes des Innern werden die Kantone bei der Einführung der LRV und der anderen Verordnungen zum Umweltschutzgesetz vom Bund unterstützt. Zum Zeitpunkt der Inkraftsetzung waren in den verschiede- nen Kantonen Infrastruktur und Personalbestände für die Vollzugsaufgaben sehr unterschiedlich; teilweise waren sie noch nicht vorhanden. Die Kantone konzentrierten sich des- halb vorerst auf den Auf- oder Ausbau leistungsfähiger Fachstellen. Dies ist keine kurzfristige Aufgabe, müssen doch geeignete Fachleute gefunden und in ihre anspruchs- volle Aufgabe eingeführt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