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87.379 vom 9. Oktober 1987</w:t>
      </w:r>
    </w:p>
    <w:p>
      <w:r>
        <w:t>Bundesverwaltung, 1987-10-09, DE</w:t>
      </w:r>
    </w:p>
    <w:p>
      <w:r>
        <w:rPr>
          <w:b/>
        </w:rPr>
        <w:t xml:space="preserve">Quelle: </w:t>
      </w:r>
      <w:r>
        <w:t>https://mcp.opencaselaw.ch/entscheid/ch_vb_87.379</w:t>
      </w:r>
    </w:p>
    <w:p>
      <w:r>
        <w:t>FR: CH_VB 87.379 du 9 octobre 1987</w:t>
      </w:r>
    </w:p>
    <w:p>
      <w:r>
        <w:t>IT: CH_VB 87.379 del 9 ottobre 1987</w:t>
      </w:r>
    </w:p>
    <w:p>
      <w:pPr>
        <w:pStyle w:val="Heading2"/>
      </w:pPr>
      <w:r>
        <w:t>Erwägungen</w:t>
      </w:r>
    </w:p>
    <w:p>
      <w:r>
        <w:rPr>
          <w:b/>
        </w:rPr>
        <w:t>E. 9</w:t>
      </w:r>
    </w:p>
    <w:p>
      <w:r>
        <w:t>Oktober 1987 N 1491 Interpellation Bühler-Tschappina sorveglianza della convenzione di diligenza delle banche, gli organi di revisione esterni dei membri devono impegnarsi a verificare che i loro mandanti osservino i regolamenti della Soffex. La Soffex può comunque ordinare dei controlli sup- plementari. Poiché, come già detto, possono essere membri del clearing solo degli istituti che soggiacciono alla legge sulle banche, in quest'ambito la reciprocità si fonda sulla vigente prassi a tenore della legge sulle banche. Per i membri della borsa che non sono membri del clearing e che pertanto possono anche non essere degli istituti bancari, la Soffex intende fondarsi sulla politica di reciprocità seguita dalle borse estere, per cui i membri esteri saranno ammessi a tutte le importanti borse estere di «options» e «futures». Nei regolamenti della Soffex sono contenute anche le condi- zioni che disciplinano il mercato borsistico. Rileviamo al riguardo che alle borse valori, le condizioni in base alle quali si svolge il commercio sono fissate dalle borse stesse. Secondo le disposizioni della legge sulle banche, spetta alla Commissione federale delle banche verificare le prescrizioni concernenti i fondi propri e l'accumulazione dei rischi. Come già menzionato, un gruppo di lavoro istituito da questa commissione sta analizzando gli effetti dell'imposta federale diretta e all'imposizione cantonale di Zurigo. Nell'ambito delle transazioni, il commercio di opzioni e la conclusione di contratti di «financial futures» non sono sottoposti alla tassa di bollo di negoziazione che sarà ver- sata soltanto nei (rari) casi in cui ha luogo una consegna di titoli. L'imposta preventiva non è dovuta sugli utili risultanti da «financial futures», né su quelli delle Trades Options, poiché per l'Amministrazione federale delle contribuzioni questi utili sono generalmente considerati come profitti in capitale. Questo stesso modo di precedere- vale a dire, gli utili sono considerati come profitti in capitale e non come guadagni realizzati in manifestazioni simili alle lotterie - è parimenti seguito nell'ambito dell'imposta federale diretta. Gli utili realizzati da persone che non sono obbligate a tenere una contabilità non hanno relevanza fiscale. Si potranno even- tualmente fare eccezioni se il contribuente esercita profes- sionalmente questo genere di affari. In merito alle imposte dirette cantonali, è importante sapere se i cantoni seguiranno la valutazione dell'Amministrazione federale delle contribuzioni e imporranno i profitti e le perdite risultanti da tali transazioni solo a quelle persone obbligate a tenere una contabilità. Tuttavia, è probabile che i pochi cantoni che ancora conoscono l'imposizione dei pro- fitti in capitale privati, relevino a questo titolo anche i profitti derivanti da tali operazioni. Questioni relative ai nuovi strumenti finanziari Lo studio del campo di applicazione di una vasta sorve- glianza dei mercati finanziari dovrebbe comprendere, oltre all'interno comparto finanziario e assicurativo, anche il com- mercio e l'industria, sempreché si tratti di attività relative ai mercati finanziari. In ogni caso, il Consiglio federale non vede attualmente alcuna ragione per emanare prescrizioni concernenti, per esempio, gli investimenti di imprese pri- vate. Fa parte segnatamente delle competenze interne di queste imprese evitare di contrarre rischi non calcolabili ed eccessivi. Inoltre, per diversi motivi sarebbe inconcepibile un assoggettamento delle società industriali e commerciali alla legge sulle banche. Contrariamente alle banche, queste imprese non lavorano con i fondi affidati loro dai clienti. La necessità di una particolare vigilanza, come prevista dalla legge sulle banche, in questo settore non esiste; l'autorità che dovesse sorvegliare tutte le società commerciali e indu- striali sarebbe eccessivamente onerata di lavoro. Il Consiglio federale non esclude tuttavia che vi sia la necessità di proteggere il pubblico da persone e imprese che effettuano operazioni finanziarie senza essere assoggettate a una rego- lamentazione legale e che le prescrizioni federali e cantonali non siano sempre sufficienti ad impedire efficacemente gli abusi (cfr. il parere del Consiglio federale del 28.5.1980 sulla mozione Robbiani del 19.3.1980 concernente le borse). Di codesta questione si dovrà tener conto nelle considerazioni relative ad un'eventuale creazione di una regolamentazione globale del mercato finanziario. 87.487 Le président: L'interpellateur n'est que partiellement satis- fait de la réponse du Conseil fédéral. 57.379 Le président: L'interpellateur est satisfait de la réponse du Conseil fédéral. #ST# 87.452 Interpellation Bühler-Tschappina Berufsbildungsreglemente. Uebersetzung in die Amtssprachen Règlements sur la formation professionnelle. Traduction dans les langues officielles Wortlaut der Interpellation vom 15. Juni 1987 Immer wieder kommt es vor, dass Berufsbildungsregle- mente in Kraft gesetzt werden, bevor diese in sämtlichen Amtssprachen erscheinen. So ist zum Beispiel das Regle- ment über die Ausbildung und die Lehrabschlussprüfung für Schreiner am I.Januar 1987 in Kraft gesetzt worden, obwohl die italienische Fassung im Laufe der ersten drei Monate dieses Jahres nicht ausgeliefert werden konnte. Aehnliche Verzögerungen sind auch bei anderen Berufen zu verzeichnen. Für italienischsprachige Lehrmeister ist dieser Zustand un- zumutbar. In diesem Zusammenhang stelle ich dem Bundesrat fol- gende Fragen: 1. Hat der Bundesrat bei der Beschlussfassung über die Inkraftsetzung Kenntnis davon, dass die Réglemente noch nicht in allen Amtssprachen vorliegen? 2. Ist der Bundesrat bereit, dafür zu sorgen, dass die Auslie- ferung der Berufsbildungsreglemente in allen Amtsspra- chen spätestens einen Monat vor dem Inkrafttreten erfolgt bzw. die Inkraftsetzung bis zu diesem Zeitpunkt hinausge- schoben wird? Texte de l'interpellation du 15 juin 1987 Les règlements sur la formation professionnelle entrent souvent en force avant d'avoir été publiés dans les trois langues officielles. Ainsi, le règlement sur la formation et l'examen de fin d'apprentissage des menuisiers-ébénistes est entré en vigueur le 1er janvier 1987 bien que sa version italienne ne fût pas disponible au premier trimestre de la même année. De semblables retards sont constatés pour d'autres métiers. Cette situation est intenable pour les maî- tres italophones. C'est pourquoi je pose les questions suivantes au Conseil fédéral: 1. Sait-il que les règlements ne sont pas disponibles dans les trois langues officielles au moment de leur mise en vigueur? 2. Entend-il faire en sorte que les règlements de formation professionnelle soient disponibles dans toutes les langues officielles au plus tard un mois avant leur entrée en force ou le cas échéant à retarder la mise en application du règle- ment de manière à respecter ce délai? Mitunterzeichner - Cosignataire: Keine - Aucun</w:t>
      </w:r>
    </w:p>
    <w:p>
      <w:r>
        <w:t>Schweizerisches Bundesarchiv, Digitale Amtsdruckschriften Archives fédérales suisses, Publications officielles numérisées Archivio federale svizzero, Pubblicazioni ufficiali digitali Interpellation Pini Neue Finanzmarktinstrumente Interpellation Pini Nouveaux instruments financiers Interpellanza Pini Nuovi strumenti finanziari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87.379 Numéro d'objet Numero dell'oggetto Datum 09.10.1987 - 08:00 Date Data Seite 1489-1491 Page Pagina Ref. No 20 015 813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