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87.370 vom 19. Juni 1987</w:t>
      </w:r>
    </w:p>
    <w:p>
      <w:r>
        <w:t>Bundesverwaltung, 1987-06-19, DE</w:t>
      </w:r>
    </w:p>
    <w:p>
      <w:r>
        <w:rPr>
          <w:b/>
        </w:rPr>
        <w:t xml:space="preserve">Quelle: </w:t>
      </w:r>
      <w:r>
        <w:t>https://mcp.opencaselaw.ch/entscheid/ch_vb_87.370</w:t>
      </w:r>
    </w:p>
    <w:p>
      <w:r>
        <w:t>FR: CH_VB 87.370 du 19 juin 1987</w:t>
      </w:r>
    </w:p>
    <w:p>
      <w:r>
        <w:t>IT: CH_VB 87.370 del 19 giugno 1987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den Landschaften einen tatsächlichen Schutz zu garantie- ren, die in die verschiedenen Inventare, die das NHG in Artikel 5 vorsieht, aufgenommen sind. An die entsprechen- den Schutzvorschriften sollen sich auch Kantone und Pri- vate halten müssen. Der Vorbehalt bezüglich der anderen Interessen des Bundes (NHG Art. 6 Abs. 2) muss neu über- prüft werden.</w:t>
      </w:r>
    </w:p>
    <w:p>
      <w:r>
        <w:rPr>
          <w:b/>
        </w:rPr>
        <w:t>E. 2</w:t>
      </w:r>
    </w:p>
    <w:p>
      <w:r>
        <w:t>den Weisungen des EDI zum Natur- und Landschafts- schutz (Skipisten, Meliorationen, Hochspannungsleitungen, etc.) Rechtskraft zu verschaffen.</w:t>
      </w:r>
    </w:p>
    <w:p>
      <w:r>
        <w:rPr>
          <w:b/>
        </w:rPr>
        <w:t>E. 3</w:t>
      </w:r>
    </w:p>
    <w:p>
      <w:r>
        <w:t>die Forderungen des NHG, insbesondere die in Artikel 2 und 3 vorgesehenen Mittel, in die verschiedenen Gesetze, die die besonderen Tätigkeiten des Bundes regeln, aufzu- nehmen. Texte de la motion du 20 mars 1987 Le Conseil fédéral est invité à soumettre aux Chambres des propositions législatives en vue: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