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87.363 vom 29. April 1987</w:t>
      </w:r>
    </w:p>
    <w:p>
      <w:r>
        <w:t>Bundesverwaltung, 1987-04-29, DE</w:t>
      </w:r>
    </w:p>
    <w:p>
      <w:r>
        <w:rPr>
          <w:b/>
        </w:rPr>
        <w:t xml:space="preserve">Quelle: </w:t>
      </w:r>
      <w:r>
        <w:t>https://mcp.opencaselaw.ch/entscheid/ch_vb_87.363</w:t>
      </w:r>
    </w:p>
    <w:p>
      <w:r>
        <w:t>FR: CH_VB 87.363 du 29 avril 1987</w:t>
      </w:r>
    </w:p>
    <w:p>
      <w:r>
        <w:t>IT: CH_VB 87.363 del 29 aprile 1987</w:t>
      </w:r>
    </w:p>
    <w:p>
      <w:pPr>
        <w:pStyle w:val="Heading2"/>
      </w:pPr>
      <w:r>
        <w:t>Erwägungen</w:t>
      </w:r>
    </w:p>
    <w:p>
      <w:r>
        <w:rPr>
          <w:b/>
        </w:rPr>
        <w:t>E. 1</w:t>
      </w:r>
    </w:p>
    <w:p>
      <w:r>
        <w:t>Hält er den Bau dieser Teilautobahn heute noch für ver- tretbar, insbesondere auch nach den vielen Beteuerungen, den internationalen Transitschwerverkehr von der Strasse auf die Schiene zu bringen?</w:t>
      </w:r>
    </w:p>
    <w:p>
      <w:r>
        <w:rPr>
          <w:b/>
        </w:rPr>
        <w:t>E. 2</w:t>
      </w:r>
    </w:p>
    <w:p>
      <w:r>
        <w:t>Warum wurde, trotz den gravierenden Auswirkungen die- ses Baus auf Menschen und Umwelt in der Region Rheinfel- den, auf eine Umweltverträglichkeitsprüfung verzichtet?</w:t>
      </w:r>
    </w:p>
    <w:p>
      <w:r>
        <w:rPr>
          <w:b/>
        </w:rPr>
        <w:t>E. 3</w:t>
      </w:r>
    </w:p>
    <w:p>
      <w:r>
        <w:t>Auch im neuen Luftreinhaltekonzept beteuert der Bun- desrat, dass das Autobahnnetz nicht mehr erweitert werden soll (vgl. Ziffer A des Massnahmenkatalogs), vor allem infolge der notwendigen Schadstoffreduktion. Nun aber handelt es sich bei diesem Projekt zweifellos um eine Erwei- terung der N 3 mit entsprechenden Folgewirkungen. Warum wurde dieses Autobahnstück nie dem Parlament vorgelegt, obwohl dies gemäss Nationalstrassengesetz erforderlich wäre?</w:t>
      </w:r>
    </w:p>
    <w:p>
      <w:r>
        <w:rPr>
          <w:b/>
        </w:rPr>
        <w:t>E. 4</w:t>
      </w:r>
    </w:p>
    <w:p>
      <w:r>
        <w:t>Ein Verzicht auf den Bau der Autobahnspange wäre gebo- ten. Wie stellt sich der Bundesrat zur bereits vorliegenden «regionalen Lösung», wonach eine kleinere Entlastungs- brücke lediglich die beiden Hauptstrassen beidseits des Rheins verbinden würde? Texte de l'interpellation du 19 mars 1987 Le projet de liaison autoroutière entre l'A 98 allemande (autoroute du Haut-Rhin) et la N 3 entre Kaiseraugst et Rheinfelden est actuellement mis à l'enquête publique. Or cette liaison a le caractère, non pas d'un raccordement de routes cantonales à la N 3, mais d'une nouvelle autoroute internationale qui favoriserait en outre le trafic routier lourd. D'où de nombreuses réactions de la population du Fricktal, notamment des locataires touchés et des amis de la nature. Le conseil municipal (Stadtrat) de Rheinfelden rejette ce projet mammouth remontant aux années soixante et portant sur 67 millions de francs. A ce propos je pose au Conseil fédéral les questions sui- 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