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87.251 vom 16. Dezember 1987</w:t>
      </w:r>
    </w:p>
    <w:p>
      <w:r>
        <w:t>Bundesverwaltung, 1987-12-16, DE</w:t>
      </w:r>
    </w:p>
    <w:p>
      <w:r>
        <w:rPr>
          <w:b/>
        </w:rPr>
        <w:t xml:space="preserve">Quelle: </w:t>
      </w:r>
      <w:r>
        <w:t>https://mcp.opencaselaw.ch/entscheid/ch_vb_87.251</w:t>
      </w:r>
    </w:p>
    <w:p>
      <w:r>
        <w:t>FR: CH_VB 87.251 du 16 décembre 1987</w:t>
      </w:r>
    </w:p>
    <w:p>
      <w:r>
        <w:t>IT: CH_VB 87.251 del 16 dicembre 1987</w:t>
      </w:r>
    </w:p>
    <w:p>
      <w:pPr>
        <w:pStyle w:val="Heading2"/>
      </w:pPr>
      <w:r>
        <w:t>Erwägungen</w:t>
      </w:r>
    </w:p>
    <w:p>
      <w:r>
        <w:rPr>
          <w:b/>
        </w:rPr>
        <w:t>E. 1</w:t>
      </w:r>
    </w:p>
    <w:p>
      <w:r>
        <w:t>Am 31. Dezember 1963 gründeten Karel Rychetsky und Vilèm (Guy) Allan eine einfache Gesellschaft zur Herstellung und zum Vertrieb von Limonadenwürfeln. Daraus entstand im Jahre 1964 die Firma Orbex AG, an welcher Herr Rychetsky seit 1966 mit 45 Prozent und Herr Allan mit 55 Prozent der Aktien beteiligt waren. Im Jahre 1969 wurde die Herstellung der Limonadenwürfel von der Firma Allan AG übernommen. Anfang der siebziger Jahre entstand zwischen den Parteien ein Streit um Lieferbedingungen, der sich über Jahre hin- ausdehnte. Am 7. Januar 1976 einigten sich die Parteien und schlössen einen Vertrag ab, wonach Rychetsky seine Anteile an der Firma Orbex AG an Allan verkaufte und dieser ihm dafür die Summe von 580 000 Franken bezahlte. Der defini- tive Kaufpreis der Gesellschaftsanteile, die Rychetsky sei- nem Geschäftspartner verkauft hatte, sollte durch ein Schiedsgericht festgelegt werden. Zu diesem Zweck unter- zeichneten Rychetsky und Allan am gleichen Tag einen Schiedsvertrag. Als Schiedsrichter wurden André Panchaud als Präsident, Bundesrichter Jean-Jacques Leu sowie Alfred Gisling bezeichnet. In der Folge wurde Herr Panchaud durch Bundesrichter Rolando Forni, Herr Gisling durch Jean-Claude Rivolle! ersetzt. Das Schiedsgericht fällte am 17. April 1978 einen ersten Teilentscheid, der von beiden Parteien beim Waadtländer Kantonsgericht angefochten wurde. Dieses lehnte die Beschwerde Rychetsky voll, jene von Allan teilweise ab. Allan reichte daraufhin eine staatsrechtliche Beschwerde an das Bundesgericht ein, die mit Entscheid vom 4. Dezember 1979 abgewiesen wurde (BGE 105 l b 431 ff.) Am 15. Oktober 1980 verfügte das Schiedsgericht die Durch- führung einer Expertise über die Höhe des Kaufpreises und formulierte die Expertenfragen, die am 21. Mai 1981 berei- nigt wurden. Die Experten (Charles Jaquier, Direktor der Fiduciaire générale SA in Lausanne, und sein Mitarbeiter Jean-Pierre Pollicino) reichten die Expertise am 29. Septem- ber 1982 ein. Diese wurde auf Ersuchen der Parteien am 31. Mai 1983 ergänzt. Am 22. August 1983 reichte Rychetsky beim Untersuchungs- richter des Kantons Waadt gegen die Experten Strafklage ein wegen Erstellung eines falschen Gutachtens. Auf die Klage wurde mit Entscheid vom 3. Dezember 1984 nicht eingetreten. Eine Beschwerde Rychetsky gegen den Nicht- eintretensentscheid wurde am 9. April 1985 vom Kantonsge- richt gutgeheissen und zur Ergänzung der Untersuchung an den Untersuchungsrichter zurückgewiesen. Das Verfahren ist zurzeit noch nicht abgeschlossen. Mit Entscheid vom 29. März 1984 stellte das Schiedsgericht fest, dass der Kaufpreis 772 457 Franken betrage. Nachdem Herr Rychetsky am 7. Januar 1976 580000 Franken als Akontozahlung erhalten habe, betrage der Saldo 192457 Franken. Dieser sei von Allan mit 5 Prozent Zins seit dem 7. Januar 1976 an Rychetsky zu bezahlen. Die Kosten des Schiedsgerichts beliefen sich auf 120 000 Franken, jene für die Erstellung des Gutachtens auf 37 800 Franken. Beide Parteien reichten gegen diesen Entscheid beim Kan- tonsgericht Beschwerde ein. Die Beschwerden wurden am</w:t>
      </w:r>
    </w:p>
    <w:p>
      <w:r>
        <w:rPr>
          <w:b/>
        </w:rPr>
        <w:t>E. 5</w:t>
      </w:r>
    </w:p>
    <w:p>
      <w:r>
        <w:t>Juni 1985 abgewiesen. Am 27. September 1985 reichte Rychetsky eine staaatsrecht- liche Beschwerde beim Bundesgericht ein. Er lehnte sämtli- che Mitglieder des Bundesgerichts als Kollegen der Bundes- richter Leu und Forni als befangen ab. Am 19. November 1985 beschloss das Bundesgericht, eine ausserordentliche Abteilung im Sinne von Artikel 26 Absatz 3 des Bundesge- setzes über die Organisation der Bundesrechtspflege (SR 173.110) zu konstituieren. Diese - bestehend aus den Obergerichtspräsidenten der Kantone Zürich, Solothurn, Appenzell Ausserrhoden, Thurgau und Tessin - lehnte am</w:t>
      </w:r>
    </w:p>
    <w:p>
      <w:r>
        <w:rPr>
          <w:b/>
        </w:rPr>
        <w:t>E. 6</w:t>
      </w:r>
    </w:p>
    <w:p>
      <w:r>
        <w:t>Oktober 1986 (5. Fristerstreckung). Am 12. Januar 1987 reichte Herr Lins gegen die Anklage- kammer des Kantons Zürich Aufsichtsbeschwerde ein wegen «allgemeiner Rechtsverweigerung, Verweigerung des rechtlichen Gehörs und absichtlicher Verschlampung des Verfahrens». Das zürcherische Obergericht wies die Beschwerde mit Entscheid vom 11. Februar 1987 ab. Am 14. Januar 1987 wurde Herr Lins aus der Untersu- chungshaft entlassen. 4. Begehren um Aufhebung der Immunität von Ratsmitglie- dern und Magistratspersonen werden zur Vorprüfung der Petitions- und Gewährleistungskommission unterbreitet (Art. 41 des Ratsreglementes). Die Petitions- und Gewährleistungskommission des Natio- nalrates befasste sich am 26. November 1986 mit der Ein- gabe des Herrn Lins. Sie setzte eine Untergruppe aus ihrer Mitte ein (HH. Stucky, Hess, Leuenberger Moritz) mit dem Auftrag, dem Plenum in dieser Sache Bericht und Antrag zu stellen. Die Verbindung zur Geschäftsprüfungskommission wurde mit der Wahl ihres Präsidenten in die Untergruppe sichergestellt. Am 27. Mai 1987 erstattete die Untergruppe dem Plenum Bericht über die vorgenommene Arbeit. Sie beantragte, das Gesuch um Aufhebung der Immunität der Bundessrichter abzuweisen. Die Kommission stimmte nach eingehender Beratung diesem Antrag einstimmig zu, und zwar auf fol- genden Ueberlegungen: a) Die Kritik des Gesuchstellers betreffend Fragen des mate- riellen Rechts im Zusammenhang mit den Bundesgerichts- entscheiden vom 26. Februar und 6. Oktober 1986 kann nicht Gegenstand einer Strafklage gegen die an diesen Entscheiden beteiligten Bundesrichter sein. Das Parlament kann Entscheide der Behörden und Amtsstellen weder auf- heben noch ändern (Art. 47quater Abs. 4 des Geschäftsver- kehrsgesetzes). Entscheide des Bundesgerichtes können nur von ihm selber nach Massgabe der gesetzlichen Bestim- mungen aufgehoben oder abgeändert werden (Art. 21 OG). Konkret bedeuten diese Bestimmungen, dass auch ein objektiv falscher Entscheid die Einleitung einer Strafunter- suchung gegen die urteilenden Richter nicht rechtfertigen könnte. Diese würde erst zur Diskussion stehen, wenn der Kläger zusätzlich einen subjektiven Straftatbestand geltend macht. b) Im Rahmen der Ueberprüfung eines Gesuches um Aufhe- bung der Immunität haben die Räte nach ständiger Praxis nur zu entscheiden, ob eine Strafuntersuchung angezeigt ist. Ob der behauptete Tatbestand erfüllt ist, prüft der Straf- richter, falls die Ermächtigung erteilt wird. Ergibt die Prü- fung, dass die Anschuldigung offensichtlich unbegründet ist, wird die Ermächtigung von den vorbereitenden Kommis- sionen verweigert. Kann dagegen der Anschuldigung eine gewisse Plausibilität nicht abgesprochen werden, hat die Bundesversammlung im Sinne einer Güterabwägung zu entscheiden, ob die Durchführung eines Strafverfahrens opportun sei. Dabei kommt es insbesondere auf die Bedeu- tung der behaupteten Tat und auf die auf dem Spiel stehen- den Interessen an, namentlich auf das öffentliche Interesse an der Strafverfolgung, die Erfolgsaussichten des Verfah- rens und auf den im Vergleich dazu erforderlichen Verfah- rensaufwand. Das Verantwortlichkeitsgesetz erhält keine Richtlinien für die Erteilung oder die Verweigerung der Ermächtigung zur Strafverfolgung von Ratsmitgliedern und Magistratsperso- nen. Es ist dem Ermessen der eigenössischen Räte überlas- sen zu bestimmen, ob die vorhandenen Verdachtsgründe und die Bedeutung der behaupteten Tat eine Strafverfol- gung rechtfertigen. c) Das Bundesgericht hatte in allen Verfahren, die den Klä- ger betrafen, einzig zu beurteilen, ob die Anordnung und die Aufrechterhaltung der Untersuchungshaft gerechtfertigt waren. Es kam wiederholt zum Schluss, dass das Vorgehen der zürcherischen Untersuchungsbehörden rechtskonform war und eine Rechtsverzögerung dieser Behörden nicht vorliegt. Der Beschwerdeführer selber habe mit der Aus- schöpfung der Rechtsmittel das Verfahren zum Teil selber verlängert. Bei der Beurteilung der staatsrechtlichen Beschwerde gegen die dritte Fristerstreckung machte das Bundesgericht die Untersuchungsbehörden des Kantons Zürich jedoch darauf aufmerksam, dass die Untersuchungs- haft nicht auf unabsehbare Zeit erstreckt werden könne. Auf die Beschwerde des Herrn Lins gegen die fünfte Frister- streckung - der Kläger befand sich zu diesem Zeitpunkt seit einem Jahr in Untersuchungshaft - wies das Bundesgericht dieselben Behörden daraufhin, die Untersuchungshaft könne nicht über zwei Jahre dauern. In dieser- nach Auffassung der Kommission grosszügigen - Beurteilung der Zulässigkeit der Fristerstreckungen kann diese keine Anzeichen für das Vorliegen strafbaren Han- delns seitens der Bundesrichter sehen. Es lag im Ermessen des Bundesgerichtes zu beurteilen, ob die Untersuchungs- behörden des Kantons Zürich aufzufordern seien, das Ver- fahren zu beschleunigen oder nicht. Dass die Bundesrichter dies nicht taten, kann ihnen der Kläger - auch wenn er materiell mit diesem Entscheid nicht einverstanden ist - nicht als willkürliches Vorgehen vorwerfen. d) Artikel 275 des Strafgesetzbuches nennt als Schutzobjekt die verfassungsmässige Ordnung. Darunter sind «die politi- schen Staatseinrichtungen, die freiheitlich-demokratische Grundordnung des Staates und das ordnungsgemässe Funktionieren dieser Einrichtungen zu verstehen. Als Angriffshandlungen sind das rechtswidrige Stören und das rechtswidrige Aendern aufgeführt.... Es muss sich also um einen auf ungesetzlichem Wege oder mit ungesetzlichen Mitteln unternommenen Angriff handeln .... Mit einer sol- chen Vorschrift können die gefährlichsten Fälle der soge- nannten kalten Revolution getroffen werden. Es ist nament- lich zu denken an Ausbildung und Betätigung revolutionärer Aktionskomitees, Ausarbeiten von Plänen für eine Umsturz, Erteilen von Weisungen, Bereitstellen von Geld ....» (vgl. Botschaft des Bundesrates, BB11949 l 1249 ff.). Aus der Definition dieses Straftatbestandes geht deutlich hervor, dass Artikel 275 des Strafgesetzbuches in diesem Zusammenhang nicht zur Anwendung kommen kann. Die von Herrn Lins erhobenen Vorwürfe gegen die Bundes- richter würden, erwiesen sie sich als gerechtfertigt, nach Auffassung der Kommission eher unter den Straftatbestand des Amtsmissbrauchs fallen (Art. 312 des Strafgesetzbu- ches). Da jedoch keine Anhaltspunkte für die Annahme besteht, die angeschuldigten Bundesrichter hätten sich in irgendeiner Weise strafbar gemacht, kann diese Frage offen bleiben. e) Die Untergruppe äusserte immerhin ein gewisses Unbe- hagen über die Art und Weise der Untersuchung durch dio zuständigen Instanzen des Kantons Zürich. Obwohl das Verfahren zweifellos aufwendig war, weil sich gewisse Sach- verhalte im Ausland abspielten, zögerten diese in der Tat sehr lange bis zur Formulierung der Anklageschrift und zur Begründung der Haftdauer.</w:t>
      </w:r>
    </w:p>
    <w:p>
      <w:r>
        <w:t>16. Dezember 1987 1765 Strafgesetzbuch (Insidergeschäfte) Antrag der Kommission Die Petitions- und Gewährleistungskommission beantragt, das Gesuch von René E. Lins um Aufhebung der Immunität der Bundesrichter Haefliger, Matter, Levi und Bourgknecht abzulehnen. Damit werden die übrigen Begehren des Gesuchstellers hinfällig. Proposition de la commission La Commission des pétitions et de l'examen des constitu- tions cantonales propose de refuser la demande déposée par René E. Lins de lever l'immunité des juges fédéraux Haefliger, Levi, Matter et Bourgknecht. Les autres requêtes du plaignant deviennent par là-même caduques. Zustimmung - Adhésion 87.263 Zwahlen Robert, Zürich. Katalysatoren für Motorfahr- zeuge, die mit unverbleitem Benzin fahren Zwahlen Robert, Zurich. Catalyseurs pour voitures roulant à l'essence sans plomb Herr Stucky unterbreitet im Namen der Petitions- und Gewährleistungskommission den folgenden schriftlichen Bericht: I.Mit Eingabe vom 30. Dezember 1986 schlägt Robert Zwahlen vor, bleihaltiges Benzin mit zusätzlichen 10 Rap- pen pro Liter zu belasten und den Ertrag für die Umrüstung von Motorfahrzeugen zu verwenden, die mit unverbleitem Benzin betrieben werden können. 2. Die Petition stellt die Forderung, die Preise für bleihaltiges Benzin zu erhöhen und den Ertrag daraus an einen bestimmten Verwendungszweck zu binden. Nach Auffassung der Kommission steht der Wunsch des Petenten, eine grössere Preisdifferenz zwischen dem blei- freien und dem bleihaltigen Benzin zu schaffen, bereits zur Diskussion. In dieser Hinsicht renne daher die Petition offene Türen ein und könne mit Hinweis auf die laufenden Arbeiten abgeschrieben werden. Den Vorschlag von Herrn Zwahlen, die Umrüstung auf Kata- lysatoren durch diese Preisdifferenz zu finanzieren, lehnt die Kommission hingegen ab mit der Begründung, der Staat habe hier nur Rahmenbedingungen zu setzen, die Umrü- stung des Wagens sei jedoch Sache des Motorfahrzeughal- ters. Dem Anliegen des Petenten werde in dem Sinne teil- weise Rechnung getragen, als heute praktisch nur noch mit Katalysatoren ausgerüstete Autos eingeführt werden dürfen. Die Kommission weist im übrigen darauf hin, dass es sich bei den vom Petenten anvisierten Fahrzeugen um Wagen handelt, die nicht mit Katalysatoren ausgerüstet sind und mit unverbleitem Benzin betrieben werden können, also um eine kleine Zahl von Fahrzeugen. Antrag der Kommission Die Petitions- und Gewährleistungskommission beantragt, von der Petition Kenntnis zu nehmen, ihr aber keine Folge zu geben. Proposition de la commission La Commission des pétitions et de l'examen des constitu- tions cantonales propose de prendre acte de la pétition sans lui donner suite. Zustimmung - Adhésion #ST# 85.020 Strafgesetzbuch (Insidergeschäfte) Code pénal (Opérations d'initiés) Siehe Seite 1370 hiervor - Voir page 1370 ci-devant Beschluss des Ständerates vom 8. Dezember 1987 Décision du Conseil des Etats du 8 décembre 1987 Differenzen - Divergences Fischer-Hägglingen, Berichterstatter: Zu den Beschlüssen des Ständerates bestehen noch zwei Differenzen. Im Auftrag der vorberatenden Kommission beantrage ich Ihnen, den Beschlüssen des Ständerates zuzustimmen. Damit wäre die Vorlage bereinigt und könnte am Freitag zur Schlussabstim- mung kommen. Erlauben Sie mir noch kurz einige Ausführungen zur ersten Differenz. Es geht bei Artikel 161 Ziffer 2bis um die Frage, welche vertraulichen Tatsachen in missbräuchlicher Weise verwendet werden müssen, damit sich jemand als Insider strafbar macht. Ziffer 2bis ist somit eine Definition des Begriffs, wie er in Artikel 161 Ziffer 1 und 2 verwendet wird. Der Bundesrat hat seinerzeit auf eine solche Umschreibung des Begriffes verzichtet, hat jedoch in seiner Botschaft fest- gehalten, dass die vertraulichen Tatsachen erheblich sein müssen. Der Ständerat fügte dann die Ziffer 2bis ein, wobei sich in der Folge die Frage stellte, ob die Aufzählung in diesem Absatz exemplifikativen oder abschliessenden Cha- rakter habe. Die Meinungen gingen sowohl im Ständerat wie im Nationalrat auseinander. Sie erinnern sich vielleicht noch an unsere Diskussion in der Septembersession. Unsere Kommission verstand den Artikel immer in dem Sinne, dass hier einige Beispiele solcher vertraulicher Tatsachen aufgezeigt werden, und fügte dann auf Antrag von Herrn Kollege Hess in dieser Aufzählung noch einen weiteren möglichen Tatbestand auf. Der Stände- rat hat sich nun nach einer längeren, sehr intensiv geführten Debatte der Meinung des Nationalrates angeschlossen und auch hier beschlossen, dass diese Bestimmung nicht abschliessenden Charakter hat. Dies ist auch die Meinung unserer Kommission, und sie wurde auch immer wieder von Frau Bundesrätin Kopp vertreten. Mit dem klaren Stimmenverhältnis hat der Ständerat somit an der ursprünglichen Fassung festgehalten und aufgrund der geführten Diskussion und des klaren Abstimmungsver- hältnisses zum Ausdruck gebracht, dass er die Ziffer 2bis nicht abschliessend versteht. Zuhanden der Materialien möchte unsere Kommission diese Auslegung ebenfalls klar unterstützen. Ich bitte Sie, in diesem Sinne von der Fassung des Ständera- tes Kenntnis zu nehmen und ihr zuzustimmen. M. Grassi, rapporteur: Les deux divergences avec le Conseil des Etats ont été examinées par votre commission. Il s'agis- sait d'abord de donner une définition légale de la notion de «faits confidentiels» à l'article 161 du code pénal, chiffre 2bis. Le Conseil des Etats a maintenu sa version par 36 voix contre 3 et ne s'est pas rallié au texte que vous aviez accepté le 7 octobre dernier. Cette décision du Conseil des Etats l'a emporté sur la proposition de la majorité de la commission de la Chambre haute qui entendait introduire dans la loi une énumération exhaustive des faits confidentiels. A la suite de la décision du Conseil des Etats, le cas d'une «modification sensible de la situation d'une entreprise», que nous avions ajouté, ne serait donc pas cité comme exemple d'un fait confidentiel punissable par le code pénal. Votre commission se rallie, à une large majorité et avec quelques abstentions, à la formulation du Conseil des Etats, afin de ne pas mettre en jeu la norme pénale relative aux opérations d'initiés. Elle tient à signaler que, par cette dèci-</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w:t>
      </w:r>
    </w:p>
    <w:p>
      <w:r>
        <w:rPr>
          <w:b/>
        </w:rPr>
        <w:t>E. 10</w:t>
      </w:r>
    </w:p>
    <w:p>
      <w:r>
        <w:t>Séance Seduta Geschäftsnummer --- Numéro d'objet Numero dell'oggetto Datum 16.12.1987 - 09:20 Date Data Seite 1758-1765 Page Pagina Ref. No 20 015 971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