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87.230 vom 15. Dezember 1987</w:t>
      </w:r>
    </w:p>
    <w:p>
      <w:r>
        <w:t>Bundesverwaltung, 1987-12-15, DE</w:t>
      </w:r>
    </w:p>
    <w:p>
      <w:r>
        <w:rPr>
          <w:b/>
        </w:rPr>
        <w:t xml:space="preserve">Quelle: </w:t>
      </w:r>
      <w:r>
        <w:t>https://mcp.opencaselaw.ch/entscheid/ch_vb_87.230</w:t>
      </w:r>
    </w:p>
    <w:p>
      <w:r>
        <w:t>FR: CH_VB 87.230 du 15 décembre 1987</w:t>
      </w:r>
    </w:p>
    <w:p>
      <w:r>
        <w:t>IT: CH_VB 87.230 del 15 dicembre 1987</w:t>
      </w:r>
    </w:p>
    <w:p>
      <w:pPr>
        <w:pStyle w:val="Heading2"/>
      </w:pPr>
      <w:r>
        <w:t>Erwägungen</w:t>
      </w:r>
    </w:p>
    <w:p>
      <w:r>
        <w:rPr>
          <w:b/>
        </w:rPr>
        <w:t>E. 7</w:t>
      </w:r>
    </w:p>
    <w:p>
      <w:r>
        <w:t>März 1990 N 279 Parlamentarische Initiative rapport que le Conseil fédéral doit présenter, conformément à un postulat des deux Chambres du 7 juin 1984, au sujet du soutien à accorder aux partis, soit disponible; elle a également résolu de proposer au.Bureau de la charger de l'examen préa- lable de cette affaire. Lors de sa séance du 25 novembre 1988, le Bureau du Conseil national a cependant décidé de créer une commission ad hoc à cet effet. Ainsi, le Bureau confirme son attitude, selon la- quelle il faut clairement distinguer entre l'examen préliminaire d'une initiative parlementaire et le traitement d'une affaire quant au fond. Cela d'autant plus qu'une révision de la loi sur les droits politiques est en préparation et qu'elle prévoit égale- ment l'examen des mesures suggérées par l'initiative. Le Bu- reau prie donc la Commission des pétitions et de l'examen des constitutions cantonales déterminer l'examen préliminaire de l'initiative de M. Ruf en prenant en considération le rapport gouvernemental. Dans ces conditions, la Commission des pétitions et de l'exa- men des constitutions cantonales a décidé, le 13 janvier 1989, de renoncer à traiter la demande de M. Ruf. Etant donné que le problème soulevé sera examiné par le Parlement lors du débat sur le rapport concernant le soutien à accorder aux partis (88.075), il se justifie de ne pas donner suite à cette initiative. Antrag der Kommission Aus diesen Gründen beantragt die Kommission, der parla- mentarischen Initiative von Herrn Ruf keine Folge zu geben. Proposition de la commission Pour les raisons exposées ci-dessus, la commission recom- mande de ne pas donner suite à l'initiative parlementaire de M. Ruf. Ruf: Ich habe meine Initiative bereits vorhin bei der Behand- lung des Berichtes über die Unterstützung der politischen Par- teien begründet und Ihnen in Aussicht gestellt, dass ich sie ohne Probleme zurückziehen könnte, wenn das entspre- chende Kommissionspostulat in Motionsform überwiesen würde. Dies haben Sie leider abgelehnt. Sie werden verste- hen, dass ich Ihnen deshalb eine Abstimmung über diese par- lamentarische Initiative nicht ersparen kann, da es sich meines Erachtens um ein wirklich dringliches Anliegen im Rahmen der Bemühungen zur Unterstützung der Parteien und zur Her- stellung einer verbesserten Chancengleichheit für alle Par- teien und Listen handelt, die an Nationalratswahlen teilneh- men. Der heutige Zustand ist in der Tat in denjenigen Kantonen, wel- che die Regelung des unentgeltlichen Versands des Propa- gandamaterials durch die Kantone oder Gemeinden nicht kennen, sehr unbefriedigend. Es gibt eine Vielzahl von Organi- sationsformen für den gemeinsamen Wahlmateri.alversand in den Gemeinden, sofern ein solcher überhaupt besteht. An ge- wissen Orten müssen die Parteien Personal zur Verfügung . stellen, um bei den Einpackaktionen mitzuhelfen, andernorts wird ein finanzieller Beitrag verlangt, in sehr vielen Gebieten schliesslich gibt es überhaupt keinen gemeinsamen Versand, was dazu führt, dass das Propagandamaterial in der Fülle der allgemeinen Reklame, die in den Briefkasten gelangt, verloren geht. Der Vorschlag der Initiative wäre eine kurzfristig, rasch und problemlos realisierbare Massnahme, wie sie ja auch von der Kommission grundsätzlich im Rahmen ihres Berichtes zur Par- teienförderung begrüsst worden ist. Es ist schade, dass Sie vorhin der Motion nicht zugestimmt haben. Sie haben damit eine Chance verpasst, die Sie nun noch nachholen können, indem Sie meiner parlamentarischen Initiative zustimmen. Vielleicht noch eine Schlussbemerkung: Offenbar muss man als Vertreter einer kleinen Partei damit leben, dass eigene gute Ideen zunächst mal abgelehnt werden, weil sie aus der fal- schen Ecke kommen. Erst später dann, wenn sie vom Bundes- rat oder von einer Regierungspartei vorgeschlagen werden, sind sie plötzlich konsensfähig. Wir haben dies vorhin gese- hen bei der Ueberweisung des entsprechenden Kommissi- onspostulates 3. Ob dies wirklich einer wünschbaren parla- mentarischen Kultur entspricht, bleibe dahingestellt. Meine Antwort auf diese Frage dürfte klar sein. Ihre Antwort können Sie sich selbst geben. Ich beantrage Ihnen also, meine Initiative doch noch zu unter- stützen. Abstimmung - Vote Für den Antrag der Kommission 42 Stimmen Für den Antrag Ruf 15Stimmen #ST# 90.220 Parlamentarische Initiative (Kommission 88.235) Stimm- und Wahlrechtsalter 18 Initiative parlementaire (Commission 88.235) Majorité politique à 18 ans Bericht und Beschlussentwurf der Kommission des Nationalrates vom 30. Januar 1990 (BBI l, 1167) Rapport et projet d'arrêté de la commission du Conseil national du 30 janvier 1990 (FF 1,1119) Stellungnahme des Bundesrates vom 28. Februar 1990 (BBI l, 1545) Avis du Conseil fédéral du 28 février 1990 (FF 1,1469) Schmid, Berichterstatter: In der ersten Hälfte des vergange- nen Jahres reichten fünf Kollegen unseres Rates, nämlich die Herren Büttiker, Brélaz, Segond, Ziegler und Ruf (in dieser Rei- henfolge) je eine parlamentarische Initiative ein, in welcher die Herabsetzung des Stimm- und Wahlrechtsalters auf 18 Jahre gefordert wird. Die Initianten verlangen übereinstimmend eine Aenderung von Artikel 74 Absatz 2 der Bundesverfassung. Dieser lautet zurzeit: «Stimm- und wahlberechtigt.... sind alle Schweizer und Schweizerinnen, die das zwanzigste Altersjahr zurückgelegt haben und nicht nach dem Recht des Bundes oder des Wohnsitzkantons vom Aktivbürgerrecht ausge- schlossen sind.» Wenn Sie diesen Text mit dem vorliegenden neuen Entwurf vergleichen, so finden Sie neben dem um zwei Jahre vorver- legten Stimm- und Wahlrechtsalter noch eine zweite Aende- rung: Nur noch der Bund, nicht mehr zusätzlich auch der Wohnsitzkanton, kann Ausschlussgründe für die Stimmab-. gäbe bei eidgenössischen- Urnengängen geltend machen. Das hat folgende Bewandtnis: Schon 1976 hatte der Bundes- rat in seiner Stellungnahme auf eine gleichlautende parlamen- tarische Initiative darauf aufmerksam gemacht, dass nach In- krafttreten des Bundesgesetzes über die politischen Rechte vom 17. Dezember 1976 der Vorbehalt zugunsten der Kan- tone in Artikel 74 der Bundesverfassung gegenstandslos würde. Wir möchten mit dieser Vorlage gleichzeitig die Gele- genheit wahrnehmen, den Vorbehalt des Ausschlusses durch den Wohnsitzkanton nun auch formell aufzuheben. Nun zum eigentlichen Anliegen selbst. Ich möchte es Ihnen und uns ersparen, einmal mehr ausführlich das Für und Wider einer Herabsetzung des Stimm- und Wahlrechtsalters darzule- gen. Sie haben zusätzlich zu Bericht und Antrag eine ausführli- che Dokumentation erhalten, die einen historischen Rückblick über frühere Urnengänge sowie einen guten Ueberblick über die Alterslimiten der politischen Mündigkeit auf kantonaler und kommunaler Ebene erlaubt und in welcher schliesslich einmal mehr auch die Gründe angeführt werden, welche für eine Einführung von Stimm- und Wahlrechtsalter 18 sprechen. Unbestritten dürfte dabei die Tatsache sein, dass in Anbe- tracht der höheren Lebenserwartung das Durchschnittsalter der Stimmberechtigten ständig steigt, andererseits aber ge- rade die junge Generation ein existenzielles Interesse daran hat, mitzureden, wie die Schweiz sich in den kommenden Jahrzehnten entwickeln soll.</w:t>
      </w:r>
    </w:p>
    <w:p>
      <w:r>
        <w:t>Schweizerisches Bundesarchiv, Digitale Amtsdruckschriften Archives fédérales suisses, Publications officielles numérisées Archivio federale svizzero, Pubblicazioni ufficiali digitali Parlamentarische Initiative (Ruf) Nationalratswahlen. Zustellung des Propagandamaterials Initiative parlementaire (Ruf) Elections au Conseil national. Distribution du matériel de propagande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03 Séance Seduta Geschäftsnummer 87.230 Numéro d'objet Numero dell'oggetto Datum 07.03.1990 - 08:00 Date Data Seite 278-279 Page Pagina Ref. No 20 018 344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