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86.973 vom 19. Dezember 1986</w:t>
      </w:r>
    </w:p>
    <w:p>
      <w:r>
        <w:t>Bundesverwaltung, 1986-12-19, DE</w:t>
      </w:r>
    </w:p>
    <w:p>
      <w:r>
        <w:rPr>
          <w:b/>
        </w:rPr>
        <w:t xml:space="preserve">Quelle: </w:t>
      </w:r>
      <w:r>
        <w:t>https://mcp.opencaselaw.ch/entscheid/ch_vb_86.973</w:t>
      </w:r>
    </w:p>
    <w:p>
      <w:r>
        <w:t>FR: CH_VB 86.973 du 19 décembre 1986</w:t>
      </w:r>
    </w:p>
    <w:p>
      <w:r>
        <w:t>IT: CH_VB 86.973 del 19 dicembre 1986</w:t>
      </w:r>
    </w:p>
    <w:p>
      <w:pPr>
        <w:pStyle w:val="Heading2"/>
      </w:pPr>
      <w:r>
        <w:t>Erwägungen</w:t>
      </w:r>
    </w:p>
    <w:p>
      <w:r>
        <w:rPr>
          <w:b/>
        </w:rPr>
        <w:t>E. 19</w:t>
      </w:r>
    </w:p>
    <w:p>
      <w:r>
        <w:t>décembre 1986 Sprecher - Porte-parole: Spoerry Schriftliche Begründung - Développement par écrit Zur Sicherung des bäuerlichen Einkommens sind protektio- nistische Massnahmen unumgänglich. Gemäss Landwirt- schaftsgesetz ist der Bundesrat ermächtigt, auf der Einfuhr von Speiseölen und -fetten Abgaben an der Grenze zu erheben. Dies ist sinnvoll, so lange die Massnahme der Förderung des Absatzes von Butter und damit dem Schutz der Milchproduktion dient. Das heute geltende System führt jedoch dazu, dass Belastungen entstehen, die mit dem unbestrittenen, ursprünglichen Sinn im Widerspruch ste- hen. Damit sind die Preiszuschläge zu einer teilweise fiskali- schen Massnahme geworden und stehen somit aufgrund ihres Ausmasses im Widerspruch zu Artikel 29 der Bundes- verfassung. Die Belastung der Nahrungsmittelindustrie in Bereichen, die in keinem Konkurrenzverhältnis zur Butter stehen, ist deshalb abzubauen. Schriftliche Erklärung des Bundesrates vom 26. November 1986 Déclaration écrite du Conseil fédéral du 26 novembre 1986 Der Bundesrat ist bereit, das Postulat entgegenzunehmen. Ueberwiesen - Transmis #ST# 86.598 Postulat der freisinnig-demokratischen Fraktion SRC-Konzession. Erneuerung Postulat du groupe radical-démocratique SSR. Renouvellement de la concession Wortlaut des Postulates vom 2. Oktober 1986 Der Bundesrat wird ersucht, bei der bevorstehenden Erneuerung der Konzession der Schweizerischen Radio- und Fernsehgesellschaft (SRG) folgende Verbesserungen ins Auge zu fassen und über ihre Prüfung und allfällige Realisierung Bericht zu erstatten: 1. Förderung einer kohärenten Programm- und Personalpo- litik durch Stärkung der Kompetenzen des Generaldirektors, der gegenüber der Konzessionsbehörde die Verantwortung trägt. 2. Berücksichtigung des Verfassungsartikels über Radio und Fernsehen (Art. 55bis), insbesondere des Leistungsauf- trags (Abs. 2) mit den Anforderungen, die er an Programm- schaffen und Information stellt: Berücksichtigung der Eigenheiten des Landes und der Bedürfnisse der Kantone, sachgerechte Darstellung der Ereignisse, angemessener Ausdruck der Vielfalt der Ansichten. 3. Bestimmung des Tätigkeitsbereichs der SRG (Programm- angebot) im Hinblick auf die im Bundesgesetz über Radio unbd Fernsehen durch den Gesetzgeber vorzunehmende Abgrenzung zwischen SRG und Privatsektor. 4. Erweiterung der unternehmerischen Freiheit der SRG im Finanz- und Personalwesen. Der Bundesrat soll die Geltungsdauer so bestimmen, dass die SRG-Konzession nach Inkrafttreten des Bundesgesetzes über Radio und Fernsehen erneuert werden kann. Texte du postulat du 2 octobre 1986 Le Conseil fédéral est prié d'examiner la possibilité d'appor- ter les améliorations ci-après à l'occasion du renouvelle- ment de la concession de la Société suisse de radiodiffusion et télévision (SSR), et de faire rapport sur les résultats de cet examen ainsi que sur l'éventuelle réalisation de ces me- sures: 1. Développement d'une politique cohérente de pro- grammes et de personnel, par le renforcement des compé- tences du directeur général, responsable devant l'autorité concédante. 2. Mise en application de l'article constitutionnel sur la radio et la télévision (art. 55bis) et en particulier exécution du mandat formulé à son alinéa 2 et des exigences qu'il ren- ferme quant aux programmes et à l'information: respect des particularités du pays et des besoins des cantons, présenta- tion fidèle des événements, et reflet équitable de la diversité des opinions. 3. Définition du champ d'activité de la SSR (offre do pro- grammes) eu égard à la séparation entre celui-ci et celui dos émetteurs privés, qui sera inscrite dans la loi fédérale sur la radio et la télévision, en cours d'élaboration. 4. Elargissement de la liberté de gestion de la SSR en matière de finances et de personnel. Le Gouvernement fixera la durée de validité de la concession de telle manière qu'elle puisse être renouvelée après l'entrée en vigueur do la loi. Mitunterzeichner - Cosignataires: Keine - Aucun Schriftliche Begründung - Développement par écrit LNach Artikels Absatz 1 der geltenden SRG-Konzession «besorgen» die Regionen den Programmdienst von Radio und Fernsehen, nach Artikel 11 Absatz 1 ist aber der Gene- raldirektor mit der «allgemeinen Leitung» des Programm- dienstes «betraut». Diese beiden Kompetenzen widerspie- geln, dass die SRG-Programme einerseits dezentralistisch und föderalistisch zu produzieren sind, aber anderseits alle Produktionseinheiten in allen Landesteilen den gleichen Qualitätsmassstäben zu genügen und dieselben rechtlichen und finanziellen Rahmenbedingungen zu respektieren haben. Unter der geltenden Konzession zeigte sich wieder- holt, dass der Generaldirektor nicht über genügende Kom- petenzen verfügt, um in diesem Sinne eine kohärente Pro- gramm- und Personalpolitik durchsetzen zu können, so dass der Dezentralismus zweckentfremdet werden konnte. In einer Stellungnahme zu einer Interpellation anerkannte der Bundesrat denn auch, «dass die heutigen Strukturen der SRG nicht mehr in allen Teilen zu befriedigen vermögen» und dass die heutige Konzession der Ueberprüfung bedürfe: «Diese Feststellung gilt insbesondere für Artikel 11 Absatz 1, der dem Generaldirektor eine universelle Verantwortung für den Programmdienst und eine rationelle Betriebsführung zuweist. Die übertragene Verantwortung stimmt mit den Kompetenzen nicht überein.» (Amtl. Bull. N 1985 S. 1845) Jetzt ist der Augenblick gekommen, Konsequenzen in der Konzession zu ziehen, nicht zuletzt damit die SRG in den kommenden Beratungen über die gesetzliche Ordnung des elektronischen Medienwesens keine unnötigen Angriffsflä- chen bietet. 2. Vier Jahre vor ihrer Annahme erteilt, konnte die geltende Konzession dem Verfassungsartikel über Radio und Fernse- hen noch nicht Rechnung tragen. Nun ist der Wille des Verfassungsgebers in die Konzession umzusetzen. Die neue Konzession sollte es auch der unabhängigen Beschwerdein- stanz ermöglichen, die Erwartungen zu erfüllen, die der Verfassungsgeber namentlich mit dem Erfordernis der Sachgerechtigkeit verbunden hat. 3. Unmissverständlich haben sich der Bundesrat und das Eidgenössische Verkehrs- und Energiewirtschaftsdeparte- ment dazu bekannt, die Entscheidungsfreiheit des Gesetz- gebers im Bereich der elektronischen Medien schützen zu wollen. In diesem Geiste sollte die Konzession verhindern, dass die SRG neue Märkte besetzt und Mittel (Finanzen, Frequenzen) in Beschlag nimmt, die der Gesetzgeber ande- ren Veranstaltern bzw. dem Wettbewerb zuordnen könnte. 4. Je mehr Wettbewerb im elektronischen Medienwesen entsteht, desto mehr drängt es sich auf, die SRG nicht wie eine Verwaltung, sondern als Medienunternehmen zu gestalten und zu führen. Die Finanzaufsicht ist streng auf das Unentbehrliche für die Gewährleistung einer rechtlich einwandfreien Gebührenverwendung zu beschränken und</w:t>
      </w:r>
    </w:p>
    <w:p>
      <w:r>
        <w:t>Schweizerisches Bundesarchiv, Digitale Amtsdruckschriften Archives fédérales suisses, Publications officielles numérisées Archivio federale svizzero, Pubblicazioni ufficiali digitali Postulat der freisinnig-demokratischen Fraktion Speiseöle und -fette. Preiszuschläge Postulat du groupe radical-démocratique Huiles et graisses comestibles. Suppléments de prix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86.973 Numéro d'objet Numero dell'oggetto Datum 19.12.1986 - 08:00 Date Data Seite 2049-2050 Page Pagina Ref. No</w:t>
      </w:r>
    </w:p>
    <w:p>
      <w:r>
        <w:rPr>
          <w:b/>
        </w:rPr>
        <w:t>E. 20</w:t>
      </w:r>
    </w:p>
    <w:p>
      <w:r>
        <w:t>015 048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