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86.956 vom 20. März 1987</w:t>
      </w:r>
    </w:p>
    <w:p>
      <w:r>
        <w:t>Bundesverwaltung, 1987-03-20, DE</w:t>
      </w:r>
    </w:p>
    <w:p>
      <w:r>
        <w:rPr>
          <w:b/>
        </w:rPr>
        <w:t xml:space="preserve">Quelle: </w:t>
      </w:r>
      <w:r>
        <w:t>https://mcp.opencaselaw.ch/entscheid/ch_vb_86.956</w:t>
      </w:r>
    </w:p>
    <w:p>
      <w:r>
        <w:t>FR: CH_VB 86.956 du 20 mars 1987</w:t>
      </w:r>
    </w:p>
    <w:p>
      <w:r>
        <w:t>IT: CH_VB 86.956 del 20 marzo 1987</w:t>
      </w:r>
    </w:p>
    <w:p>
      <w:pPr>
        <w:pStyle w:val="Heading2"/>
      </w:pPr>
      <w:r>
        <w:t>Erwägungen</w:t>
      </w:r>
    </w:p>
    <w:p>
      <w:r>
        <w:rPr>
          <w:b/>
        </w:rPr>
        <w:t>E. 20</w:t>
      </w:r>
    </w:p>
    <w:p>
      <w:r>
        <w:t>mars 1987 aktive Beihilfe zur Kapitalflucht beschränkt werden müss- ten. 4. Filialen schweizerischer Banken im Ausland unterstehen der Rechtshoheit des betreffenden ausländischen Staats. Die von der Motion verlangte Unterstellung unter schweize- risches Recht wäre mit dem Territorialitätsprinzip nicht zu vereinbaren. Zudem wäre es aus Wettbewerbsgründen kaum möglich, im Ausland tätige Filialen mit stärkeren Auf- lagen zu belasten, als sie für ihre Konkurrenten gelten. Indessen versteht es sich von selbst, dass eine international tätige Schweizer Bank nicht über ausländische Filialen und Tochtergesellschaften die schweizerische Rechtsordnung umgehen darf. 5. Die Nationalbank erhebt heute schon eine Statistik über die Wertschriftendepots in- und ausländischer Kunden. Sie dient jedoch ausschliesslich der Berechnung der für die Geldpolitik wichtigen Kapitalverkehrsbilanz. Entsprechend ist die Erhebung aufgebaut; sie erfasst nicht sämtliche deponierten Wertschriften und ist nicht länderweise geglie- dert. Sie eignet sich daher nicht zur Veröffentlichung. Der vom Motionär anvisierte Zweck der Statistik würde ausser- halb des verfassungsrechtlich umschriebenen Aufgabenbe- reichs der Nationalbank liegen. Auch wären Globalzahlen (Depots aller Angehörigen eines ausländischen Staats bei allen Schweizer Banken) für die Aufdeckung von Missbräu- chen oder kriminellen Machenschaften wenig hilfreich. Soweit die Depots einzelner ausländischer Personen bei Schweizer Banken interessieren, können diese auf dem Weg des Rechtshilfeverfahrens in Strafsachen ausfindig gemacht und blockiert werden. Schriftliche Erklärung des Bundesrates Déclaration écrite du Conseil fédéral Der Bundesrat beantragt, die Motion in ein Postulat umzu- wandeln. Ueberwiesen als Postulat - Transmis comme postulat #ST# 86.189 Motion Früh Eidgenössische Versicherungskasse (EVK). Statutenrevision. Aufschub Caisse fédérale d'assurance (CPS). Révision des statuts. Ajournement Wortlaut der Motion vom 18. Dezember 1986 Der Bundesrat wird ersucht, die vorgesehene Statutenrevi- sion der Eidgenössischen Versicherungskasse (EVK) und der Pensions- und Hilfskasse der SBB (PHK) mit der geplan- ten 10. AHV-Revision zu koordinieren. Weil das vom Eidge- nössischen Finanzdepartement entwickelte Modell für die EVK und die PHK a) die Gleichstellung der Geschlechter über reduzierte Lei- stungen für weibliche Funktionäre anvisiert und b) einen vorzeitigen Rentenbezug, zum Teil bei Kürzung der Renten, ermöglichen soll, ist die für die Bundesbediensteten geltende berufliche Vor- sorge sorgfältig auf die Entwicklung der ersten Säule abzu- stimmen. Deshalb soll die Statutenrevision 1. erst realisiert werden, wenn der Gesetzgeber die Fragen der Gleichstellung der Geschlechter und des flexiblen Ren- tenalters für die AHV gelöst hat, 2. dem Parlament gleichzeitig die Folgen vorzeitiger Pen- sionierungen für den Personalbedarf und die diesbezügli- chen finanziellen Konsequenzen aufzeigen, 3. so gestaltet sein, dass dem Bund und den Pensionskas- sen keine zusätzlichen Lasten entstehen und die Verschul- dung der bundeseigenen Vorsorgeeinrichtungen abgebaut werden kann. Texte de la motion du 18 décembre 1986 Le Conseil fédéral est chargé de coordonner la révision prévue des statuts de la Caisse fédérale d'assurance et celle de la Caisse de pensions et de secours des CFF d'une part, et la 10e révision de l'AVS qui est projetée, d'autre part. Comme le modèle élaboré par le Département fédéral des finances pour les statuts de ces deux caisses a) vise à réaliser l'égalité de traitement pour les hommes et les femmes en réduisant à cet effet les prestations en faveur des femmes et b) doit permettre la jouissance des rentes par anticipation, celles-ci étant parfois réduites à cet effet, il faut adapter soigneusement la prévoyance professionnelle concernant les agents de la Confédération, aux modifica- tions apportées au premier pilier. En raison de ce qui pré- cède, la revision des statuts ne doit être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