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86.955 vom 18. Dezember 1986</w:t>
      </w:r>
    </w:p>
    <w:p>
      <w:r>
        <w:t>Bundesverwaltung, 1986-12-18, DE</w:t>
      </w:r>
    </w:p>
    <w:p>
      <w:r>
        <w:rPr>
          <w:b/>
        </w:rPr>
        <w:t xml:space="preserve">Quelle: </w:t>
      </w:r>
      <w:r>
        <w:t>https://mcp.opencaselaw.ch/entscheid/ch_vb_86.955</w:t>
      </w:r>
    </w:p>
    <w:p>
      <w:r>
        <w:t>FR: CH_VB 86.955 du 18 décembre 1986</w:t>
      </w:r>
    </w:p>
    <w:p>
      <w:r>
        <w:t>IT: CH_VB 86.955 del 18 dicembre 1986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März 1987 N 437 Motion der SVP-Fraktion Kreisschreiben Nr. 1 der</w:t>
      </w:r>
    </w:p>
    <w:p>
      <w:r>
        <w:rPr>
          <w:b/>
        </w:rPr>
        <w:t>E. 20</w:t>
      </w:r>
    </w:p>
    <w:p>
      <w:r>
        <w:t>015 213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