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86.948 vom 19. Dezember 1986</w:t>
      </w:r>
    </w:p>
    <w:p>
      <w:r>
        <w:t>Bundesverwaltung, 1986-12-19, DE</w:t>
      </w:r>
    </w:p>
    <w:p>
      <w:r>
        <w:rPr>
          <w:b/>
        </w:rPr>
        <w:t xml:space="preserve">Quelle: </w:t>
      </w:r>
      <w:r>
        <w:t>https://mcp.opencaselaw.ch/entscheid/ch_vb_86.948</w:t>
      </w:r>
    </w:p>
    <w:p>
      <w:r>
        <w:t>FR: CH_VB 86.948 du 19 décembre 1986</w:t>
      </w:r>
    </w:p>
    <w:p>
      <w:r>
        <w:t>IT: CH_VB 86.948 del 19 dicembre 1986</w:t>
      </w:r>
    </w:p>
    <w:p>
      <w:pPr>
        <w:pStyle w:val="Heading2"/>
      </w:pPr>
      <w:r>
        <w:t>Erwägungen</w:t>
      </w:r>
    </w:p>
    <w:p>
      <w:r>
        <w:rPr>
          <w:b/>
        </w:rPr>
        <w:t>E. 19</w:t>
      </w:r>
    </w:p>
    <w:p>
      <w:r>
        <w:t>Dezember 1986 N 2025 Petitionen demande de livraison de matériel nucléaire n'a été faite à la Suisse depuis plusieurs années, etc. S'il s'avérait que des marchandises traversent nos frontières en vue de contour- ner des sanctions des Etats tiers, nous sommes en mesure de l'interdire, aujourd'hui déjà. Le transit d'armes ou d'ordi- nateurs par notre pays serait illégal comme serait illégal le transit d'armes via l'Iran, et nous avons une loi et un minis- tère public très diligent à ce sujet. Commme serait illégale également la falsification de certifi- cats d'origine ou de marchandises sud-africaines en vue de les réexporter vers des pays tiers. Nous continuerons de suivre la question de très près et nous sommes prêts, si nécessaire, à prendre des mesures pour assurer l'applica- tion du principe de non-contournement qui a été décidé, le</w:t>
      </w:r>
    </w:p>
    <w:p>
      <w:r>
        <w:rPr>
          <w:b/>
        </w:rPr>
        <w:t>E. 22</w:t>
      </w:r>
    </w:p>
    <w:p>
      <w:r>
        <w:t>septembre 1986, par le Conseil fédéral. En conclusion, le Conseil fédéral continuera tous ses efforts pour obtenir du gouvernement sud-africain que soient res- pectés les droits de l'homme et les libertés fondamentales dans ce pays, ceci par les divers moyens exposés par certains: le dialogue, les contacts diplomatiques, voire, dans certains cas, des déclarations ou des communiqués publics. Nous continuerons d'intervenir pour obtenir la libération de notre concitoyen le pasteur Bill et surtout, pour tenter d'ob- tenir que le gouvernement sud-africain entame - avant qu'il ne soit trop tard - un véritable dialogue avec les représen- tants de tous les milieux de la population sud-africaine. L'apartheid, comme toute mesure raciste et discriminatoire, doit être bannie de la surface de notre planète. Le dialogue et la concertation sont - à mon sens et c'est aussi l'avis du Conseil fédéral - la seule alternative à la situation sans issue dans laquelle se trouve aujourd'hui l'Afrique du Sud. 56.575 Motion Rechsteiner Le président: Le Conseil fédéral propose de transformer la motion en postulat. M. Rechsteiner nous fait savoir qu'il est d'accord. Ueberwiesen aïs Postulat - Transmis comme postulat 85.540 Interpellation der sozialdemokratischen Fraktion Interpellation du groupe socialiste Le président: Les interpellateurs ne sont pas satisfaits de la réponse du Conseil fédéral. 85.532 Interpellation der Fraktion der PdA/PSA/POCH Interpellation du groupe PdT/PSA/POCH Le président: Les interpellateurs ne sont pas satisfaits de la réponse du Conseil fédéral. 86.948 Interpellation Braunschweig Le président: M. Braunschweig n'est pas satisfait de la réponse du Conseil fédéral. #ST# Petitionen - Pétitions 86.262 Aktion Ruhezeit. Verbesserung der Ruhezeitkontrolle der Militärfahrer Manifeste «Temps de repos». Contrôle de la durée du repos des conducteurs militaires. Amélioration Herr Steinegger unterbreitet im Namen der Petitions- und Gewährleistungskommission den folgenden schriftlichen Bericht: 1. Die «Aktion Ruhezeit» reichte im Juli 1986 eine Petition mit 643 Unterschriften ein. Die Petenten verlangen: «Das bestehende Ruhezeit-Reglement soll durch folgende Punkte ergänzt und verbessert werden: a) Die Ruhezeit ist definiert als effektive Schlafzeit, das heisst die Zeit, in welcher der Motorfahrer im Schlafsack oder im Bett liegt. (Die Zeit für Essen, Warten, Pausen, Ausgang und Urlaub gilt nicht mehr als Ruhezeit). b) Die 8 Stunden Ruhezeit dürfen nur noch auf zwei Blöcke von je 4 Stunden verteilt werden. c) Fühlt sich der Motorfahrer nicht fahrtüchtig, z. B. aus Unwohlsein oder Krankheit, so hat er das Recht, jeden Fahrauftrag zu verweigern. Jedoch für das Einhalten der Ruhezeit ist der Befehlsgeber verantwortlich, das heisst: Wird trotz Nichteinhaltung der Ruhezeit gefahren, so ist der Befehlsgeber für dieses Verge- hen haftbar. d) Längere Verschiebungen (ausgenommen Einzelfahrten) während der Nacht, die mehr als eine Stunde dauern, sind verboten. Die Nacht ist definiert als die Zeitspanne zwischen</w:t>
      </w:r>
    </w:p>
    <w:p>
      <w:r>
        <w:rPr>
          <w:b/>
        </w:rPr>
        <w:t>E. 22.00</w:t>
      </w:r>
    </w:p>
    <w:p>
      <w:r>
        <w:t>und 04.00 Uhr.» Zur Begründung machen die Petenten geltend, es könnten im Militär viele tragische Unfälle vermieden werden, wenn wirklich nur ausgeruhte Fahrer ans Steuer gesetzt würden. Eine wirkungsvollere Ruhezeitreglementierung soll dazu führen, dass keine weiteren Menschenleben durch Ueber- müdung am Steuer gefährdet werden. 2. Die Kommission liess sich vom Eidgenössichen Militärde- partement über die geltenden Bestimmungen und die Schritte orientieren, welche aufgrund der schweren Unfälle der letzten Zeit unternommen wurden. Dieses hat wie folgt Stellung genommen: «Die geltenden Ruhezeitvorschriften für militärische Motor- fahrzeugführer sind in der «Verordnung über den militäri- schen Strassenverkehr» (MSV) vom 1. Juni 1983, Artikel 46 bis 49, geregelt. Jeder Motorfahrzeugführer ist für seine ständige Fahrfähig- keit in erster Linie selber verantwortlich. Er hat jedoch dem Vorgesetzten die Umstände zu melden, die ihm das Fahren erschweren oder verunmöglichen. Dieser wacht darüber, dass Fahrzeuge nicht von fahrunfähigen Führern gelenkt werden. Die dem Motorfahrzeugführer vorgeschriebene Ruhezeit von acht Stunden innerhalb von 24 Stunden entbindet sowohl Vorgesetzte wie Fahrzeugführer nicht von der Beachtung von Artikel 31 Absatz 2 des Strassenver- kehrsgesetzes (SVG): «Wer angetrunken, übermüdet oder sonst nicht fahrfähig ist, darf kein Fahrzeug führen.» Grundsätzlich müssen Motorfahrzeugführer innerhalb von</w:t>
      </w:r>
    </w:p>
    <w:p>
      <w:r>
        <w:rPr>
          <w:b/>
        </w:rPr>
        <w:t>E. 24</w:t>
      </w:r>
    </w:p>
    <w:p>
      <w:r>
        <w:t>Stunden eine zusammenhängende Ruhezeit von 8 Stun- den einhalten. Im normalen Dienstbetrieb kann der Motor- fahrzeugführer diesem Erfordernis ohne weiteres gerecht werden, indem in der Regel fünf bis sechs Stunden zwi- schen Hauptverlesen und Tagwache für den Schlaf zur Verfügung stehen. Liegen besondere Gründe vor, wie Uebermüdung der Truppe oder frühere Tagwache am fol- genden Morgen, so kann der Truppenkommandant gestützt auf Ziffer 288 des Dienstreglements den Ausgang beschrän- ken oder der Truppe Ruhe befehlen.</w:t>
      </w:r>
    </w:p>
    <w:p>
      <w:r>
        <w:t>Schweizerisches Bundesarchiv, Digitale Amtsdruckschriften Archives fédérales suisses, Publications officielles numérisées Archivio federale svizzero, Pubblicazioni ufficiali digitali Interpellation Braunschweig Südafrika. Massnahmen der Schweiz Interpellation Braunschweig Sanctions contre l'Afrique du Sud. Attitude de la Suisse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86.948 Numéro d'objet Numero dell'oggetto Datum 19.12.1986 - 08:00 Date Data Seite 2012-2025 Page Pagina Ref. No 20 015 022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