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86.931 vom 18. Dezember 1986</w:t>
      </w:r>
    </w:p>
    <w:p>
      <w:r>
        <w:t>Bundesverwaltung, 1986-12-18, DE</w:t>
      </w:r>
    </w:p>
    <w:p>
      <w:r>
        <w:rPr>
          <w:b/>
        </w:rPr>
        <w:t xml:space="preserve">Quelle: </w:t>
      </w:r>
      <w:r>
        <w:t>https://mcp.opencaselaw.ch/entscheid/ch_vb_86.931</w:t>
      </w:r>
    </w:p>
    <w:p>
      <w:r>
        <w:t>FR: CH_VB 86.931 du 18 décembre 1986</w:t>
      </w:r>
    </w:p>
    <w:p>
      <w:r>
        <w:t>IT: CH_VB 86.931 del 18 dicembre 1986</w:t>
      </w:r>
    </w:p>
    <w:p>
      <w:pPr>
        <w:pStyle w:val="Heading2"/>
      </w:pPr>
      <w:r>
        <w:t>Erwägungen</w:t>
      </w:r>
    </w:p>
    <w:p>
      <w:r>
        <w:rPr>
          <w:b/>
        </w:rPr>
        <w:t>E. 18</w:t>
      </w:r>
    </w:p>
    <w:p>
      <w:r>
        <w:t>Dezember 1986 837 Immunität von Nationalrat Oehler. Aufhebung Fahne gedruckt werden kann, damit das Studium der Akten einfacher und leichter wird. M. Aubert: Puisque le postulat s'adresse en partie au Bureau, le Bureau en a délibéré et m'a chargé de donner la réponse suivante: Le souci de M. Knüsel est tout à fait légitime, son postulat nous paraît justifié, le Bureau est prêt à l'accepter. Tout au plus pourrais-je ajouter en mon nom personnel que ce n'est pas seulement lors de révisions partielles de la loi, mais c'est aussi parfois lors de révisions totales qu'il pourrait être utile de connaître exactement quel est le contenu de l'ancienne loi et quelles sont les nou- veautés que le projet prétend y apporter. Ueberwiesen - Transmis #ST# 86.001 Immunität von Nationalrat Oehler. Aufhebung Immunité parlementaire du conseiller national Oehler. Levée Beschluss des Nationalrates vom 20. Juni 1986 Décision du Conseil national du 20 juin 1986 Antrag der Kommission a. auf die Gesuche der Bezirkgerichte von St. Gallen, Arbon und Morgen einzutreten b. die parlamentarische Immunität von Nationalrat Oehler nicht aufzuheben. Proposition de la commission a. d'entrer en matière sur les requêtes présentées par les tribunaux de district de Saint-Gall, d'Arbon et de Morgen b. de ne pas lever l'immunité parlementaire de M. Oehler. Frau Meier Josi: Nationalrat Oehler hat Nationalrat Ruf im Anschluss an die Sommersession 1985 in der «Ostschweiz», wo er damals Redaktor war, sowie während der Herbstses- sion desselben Jahres in Interviews mit zwei anderen Zeitun- gen scharf angegriffen. In allen drei Fällen reichte der Ange- griffene bei den im Antrag erwähnten Gerichten gegen National rat Oehler Strafklage wegen Ehrverletzung ein. Die- ser berief sich auf seine parlamentarische Immunität, da die Aeusserungen im Anschluss an Auseinandersetzungen über die Asylpolitik erfolgt seien. Der Nationalrat hat auf den Antrag seiner Petitions- und Gewährleistungskommission in der Sommersession 1986 nach eingehender Debatte die Aufhebung der Immunität abgelehnt. Er ging davon aus, zwischen der amtlichen Tätig- keit von Nationalrat Oehler und dessen Aussagen in den drei Publikationen sei keine scharfe Trennung möglich. Die entsprechenden Unterlagen stehen Ihnen im Amtlichen Bulletin der Sommersession 1986 zur Verfügung. Den Bericht der ständigen Kommission des Erstrates haben Sie vor sich. Dessen Inhalt darf als bekannt vorausgesetzt wer- den. Herr Oehler hat darauf verzichtet, sich vor Ihrer Kom- mission erneut verlauten zu lassen. Er verwies auf die Vor- akten. Die Immunität der Parlamentarier ist im Verantwortlichkeits- gesetz geregelt. Gemäss Artikel 2 ist sie absolut für all das, was der Parlamentarier in Rats- oder Kommissionsverhand- lungen sagt. Der Gesetzgeber hat dafür bewusst weder zivil- noch strafrechtliche Sanktionen vorgesehen. Schon vor 60 Jahren hat das Bundesgericht in einem Falle Dellberg entschieden, dass auch ausserhalb der Räte wiederholte Aussagen geschützt bleiben. «Le privilège est de taille, mais il est heureusement compensé par la placidité de nos hom- mes politiques», sagt dazu Kollege Aubert in seinem Kom- mentar zum Verfassungsrecht. Dieses Votenprivileg schützt nicht die bösen Zungen des Parlamentariers, sondern die wesensnotwendige Redefreiheit des Parlamentes. Bei Handlungen ausserhalb des Parlamentes bestehen sogenannte Verfolgungsprivilegien. Auch sie wollen nicht den Parlamentarier, sondern primär die Funktionsfähigkeit des Parlamentes schützen und Sanktionen dem Wähler überlassen. Bezieht sich eine Handlung auf die amtliche Tätigkeit oder Stellung des Parlamentariers, braucht es zur Strafverfol- gung nach Artikel 14 des Gesetzes die Ermächtigung beider Räte. Wir haben also im Falle Oehler über zwei Fragen zu entscheiden: 1. Besteht ein Zusammenhang zwischen den drei Aeusserungen mit seiner parlamentarischen Tätigkeit oder Stellung? 2. Wenn ja, wollen wir die Ermächtigung erteilen oder nicht? Bevor ich antworte sei noch an folgendes erinnert: Gemäss Verantwortlichkeitsgesetz kommt die Priorität jener Kammer zu, der das Mitglied angehört. 1982 hat der Ständerat im Falle Leuenberger die Auffassung vertreten, es gehe nicht allein um die zeitliche Priorität. Vielmehr sei gerade wegen dieser Zugehörigkeit eines Mitgliedes dem Urteil des Erstra- tes jeweilen auch ein besonderes Gewicht beizumessen, ohne dass freilich dadurch die Entscheidungsfreiheit des Zweitrates geschmälert werden dürfte (vergleiche Amtliches Bulletin 1982 Seite 376). Vom Entscheid des Erstrates über einen seiner Kollegen sollte daher nicht ohne Not abgewi- chen werden. Ihre Kommission hat die beiden Fragen wie folgt beantwortet: 1. Eine Beziehung zwischen der Tätigkeit eines Parlamenta- riers und Sessionsinterviews kann kaum bezweifelt werden. Zeitungen pflegen nicht Redaktoren der Konkurrenz über die Ratssessionen zu interviewen, es sei eben wegen derer parlamentarischer Stellung und Tätigkeit. Nach Auffassung Ihrer Kommission blieb der Erstrat auch im Rahmen seines Ermessens, als er diesen Zusammenhang bei der Kolumne in der «Ostschweiz» zum offenen Brief von Nationalrat Ruf als gegeben annahm. Dieser Schluss erscheint in unserem Milizsystem zulässig, weil Nationalrat Oehler seinen Kolum- nenlesern regelmässig mit politischen Themen als Parla- mentarier gegenübertrat, vor allem aber, weil ein enger zeitlicher und sachlicher Zusammenhang des Angriffes mit der zu dieser Zeit laufenden parlamentarischen Auseinan- dersetzung über die Asylpolitik bestand. Der Angriff richtet sich denn auch gegen ein konkretes politisches Vorgehen in der Asylpolitik eines Parlamenta- riers und visierte kein anderes Tun oder Handeln der ange- griffenen Person an. Wenn die Aussagen teils wörtlich wie- der in das Parlament zurückgetragen wurden - wobei sich die Gegner gar nichts schuldig blieben -, verstärkt das den Eindruck, dass die inkriminierten Aussagen eben primär mit der Stellung und Tätigkeit National rat Oehlers als Parlamen- tarier zusammenhingen, so dass die zweite Frage, jene der Ermächtigung, sich wirklich stellt. Wir beantworten sie fol- gendermassen: 2. Materiell hält Ihre Kommission die Aufhebung der Immu- nität für nicht opportun. Der Gesetzgeber hat mit der Einräu- mung der Möglichkeit, die Strafuntersuchung vom Vorent- scheid einer nichtrichterlichen Behörde abhängig zu machen, anerkannt, dass im Bereich staatlicher Tätigkeit auch ausserhalb der strafrechtlichen Ueberlegungen auf ein Strafverfahren verzichtet werden darf. Ginge es beim Ermächtigungsentscheid nur darum, das Vorliegen eines Rechtsgrundes zu prüfen oder abzuklären, ob ausreichende Verdachtsgründe vorhanden sind, so wäre die Zuständigkeit einer nichtrichterlichen Behörde weder notwendig noch zweckmässig. Diese Meinung hat das Bundesgericht bei der Prüfung kantonaler Immunitätsbestimmungen vertreten. Ich verweise auf BGE 106 IV 43. Die Kommission stützt ihren Entscheid, die parlamentari- sche Immunität von Nationalrat Oehler nicht aufzuheben, in erster Linie auf die Praxis der eidgenössischen Räte, die bei der Aufhebung der Immunität ihrer Mitglieder sehr zurück-</w:t>
      </w:r>
    </w:p>
    <w:p>
      <w:r>
        <w:t>Schweizerisches Bundesarchiv, Digitale Amtsdruckschriften Archives fédérales suisses, Publications officielles numérisées Archivio federale svizzero, Pubblicazioni ufficiali digitali Postulat Knüsel Gesetze und Bundesbeschlüsse. Darstellung bei Revisionen Postulat Knüsel Lois et arrêtés fédéraux. Présentation des projets de révision In Amtliches Bulletin der Bundesversammlung Dans Bulletin officiel de l'Assemblée fédérale In Bollettino ufficiale dell'Assemblea federale Jahr 1986 Année Anno Band IV Volume Volume Session Wintersession Session Session d'hiver Sessione Sessione invernale Rat Ständerat Conseil Conseil des Etats Consiglio Consiglio degli Stati Sitzung 11 Séance Seduta Geschäftsnummer 86.931 Numéro d'objet Numero dell'oggetto Datum 18.12.1986 - 08:00 Date Data Seite 836-837 Page Pagina Ref. No</w:t>
      </w:r>
    </w:p>
    <w:p>
      <w:r>
        <w:rPr>
          <w:b/>
        </w:rPr>
        <w:t>E. 20</w:t>
      </w:r>
    </w:p>
    <w:p>
      <w:r>
        <w:t>014 943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