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86.820 vom 23. Juni 1988</w:t>
      </w:r>
    </w:p>
    <w:p>
      <w:r>
        <w:t>Bundesverwaltung, 1988-06-23, DE</w:t>
      </w:r>
    </w:p>
    <w:p>
      <w:r>
        <w:rPr>
          <w:b/>
        </w:rPr>
        <w:t xml:space="preserve">Quelle: </w:t>
      </w:r>
      <w:r>
        <w:t>https://mcp.opencaselaw.ch/entscheid/ch_vb_86.820</w:t>
      </w:r>
    </w:p>
    <w:p>
      <w:r>
        <w:t>FR: CH_VB 86.820 du 23 juin 1988</w:t>
      </w:r>
    </w:p>
    <w:p>
      <w:r>
        <w:t>IT: CH_VB 86.820 del 23 giugno 1988</w:t>
      </w:r>
    </w:p>
    <w:p>
      <w:pPr>
        <w:pStyle w:val="Heading2"/>
      </w:pPr>
      <w:r>
        <w:t>Erwägungen</w:t>
      </w:r>
    </w:p>
    <w:p>
      <w:r>
        <w:rPr>
          <w:b/>
        </w:rPr>
        <w:t>E. 1</w:t>
      </w:r>
    </w:p>
    <w:p>
      <w:r>
        <w:t>Entsorgungsunterkapazität in der Schweiz Ueber 60 Prozent der schweizerischen Sonderabfälle sind organisch-chemischer Natur. Davon wird ein Teil in vier Sonderabfallverbrennungsanlagen verbrannt, wovon drei dieser Anlagen privaten Firmen der chemischen Industrie gehören. Nur die Genfer Anlage steht privaten und öffentli- chen Sonderabfallieferanten zur Verfügung. Es liegt in der Natur der Sache, dass der politische Druck auf solche Anla- gen stets zunimmt, ja keine fremden Sonderabfälle zur Entsorgung anzunehmen. Für die Schweiz verbleibt eine Restsonderabfallmenge von ca. 85 000 Tonnen, wovon noch ein Anteil von ca. 20 000 bis 30 000 Tonnen in Kehrrichtver- brennungsanlagen oder in Zementwerken verbrannt werden können (z. B. Altöl, chlorierte Lösungsmittel). Somit ver- bleibt eine Unterkapazität von ca. 55 000 bis 65 000 Tonnen pro Jahr.</w:t>
      </w:r>
    </w:p>
    <w:p>
      <w:r>
        <w:rPr>
          <w:b/>
        </w:rPr>
        <w:t>E. 2</w:t>
      </w:r>
    </w:p>
    <w:p>
      <w:r>
        <w:t>Export ist keine Lösung Diese Menge muss von der Schweiz exportiert werden. Diese extreme Auslandabhängigkeit ist ein steter Unsicher- heitsfaktor, zumal auch dort vor allem gegen fremde Son- derabfälle der politische Widerstand wächst. Der jetzige Zustand widerspricht auch klar der vom Bundesrat mehr- mals bekräftigen Absicht (Abfall-Leitbild), von der ausländi- schen Sonderabfallentsorgung autonom zu werden. Zudem wird der Verzicht auf die umweltpolitisch stark angefoch- tene Sonderabfallverbrennung auf hoher See erst möglich sein, wenn genügend inländische Kapazität angeboten wer- den kann. Es versteht sich von selbst, dass der billige Export (gesetzliche Auflagen beschränkt) neue schweizerische Anlagen derart konkurrenziert, dass sich mögliche Träger zum Betrieb von inländischen Anlagen nicht finden lassen. Eine entsprechende Bundeskompetenz, die einen Sonder- abfallieferanten zur Abgabe seiner Sonderabfälle an eine bestimmte Verbrennungsanlage in der Schweiz verpflichten würde, brächte den Sonderabfallexport automatisch zum Erliegen.</w:t>
      </w:r>
    </w:p>
    <w:p>
      <w:r>
        <w:rPr>
          <w:b/>
        </w:rPr>
        <w:t>E. 3</w:t>
      </w:r>
    </w:p>
    <w:p>
      <w:r>
        <w:t>Bund muss betriebliche Rahmenbedingungen setzen Die einzige technisch ausgereifte Methode, die eine Zerstö- rung und Mineralisierung organisch-chemischer Abfälle</w:t>
      </w:r>
    </w:p>
    <w:p>
      <w:r>
        <w:t>Schweizerisches Bundesarchiv, Digitale Amtsdruckschriften Archives fédérales suisses, Publications officielles numérisées Archivio federale svizzero, Pubblicazioni ufficiali digitali Motion der LdU/EVP-Fraktion Chlorierte Kohlenwasserstoffe. Verbot Motion du groupe Adl/PEP Hydrocarbures chlorés. Interdiction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86.820 Numéro d'objet Numero dell'oggetto Datum 23.06.1988 - 08:00 Date Data Seite 883-884 Page Pagina Ref. No 20 016 407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