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86.807 vom 20. März 1987</w:t>
      </w:r>
    </w:p>
    <w:p>
      <w:r>
        <w:t>Bundesverwaltung, 1987-03-20, DE</w:t>
      </w:r>
    </w:p>
    <w:p>
      <w:r>
        <w:rPr>
          <w:b/>
        </w:rPr>
        <w:t xml:space="preserve">Quelle: </w:t>
      </w:r>
      <w:r>
        <w:t>https://mcp.opencaselaw.ch/entscheid/ch_vb_86.807</w:t>
      </w:r>
    </w:p>
    <w:p>
      <w:r>
        <w:t>FR: CH_VB 86.807 du 20 mars 1987</w:t>
      </w:r>
    </w:p>
    <w:p>
      <w:r>
        <w:t>IT: CH_VB 86.807 del 20 marzo 1987</w:t>
      </w:r>
    </w:p>
    <w:p>
      <w:pPr>
        <w:pStyle w:val="Heading2"/>
      </w:pPr>
      <w:r>
        <w:t>Volltext</w:t>
      </w:r>
    </w:p>
    <w:p>
      <w:r>
        <w:t>Motion Leuenberger Moritz 510 20 mars 1987 alter von 18 Jahren einer Empfehlung des Europarats, und die grosse Mehrheit der europäischen Staaten hat sich auf diese Altersgrenze festgelegt. Indessen hat die Schweiz die Stellung der noch nicht 20jährigen bereits anlässlich der Revision des Kindesrechts 1978 verbessert. Sie kennt eine sogenannte schrittweise Mündigkeit in dem Sinne, dassder urteilsfähige Unmündige schon vor Erreichen der vollen Mündigkeit in verschiedenen Bereichen handlungsfähig ist. So wird er z. B. mit 16 Jahren religionsmündig, kann Per- sönlichkeitsrechte selbständig wahren und ist im Bereich seines Arbeitsverdienstes handlungsfähig. Deshalb kommt einer Herabsetzung des Mündigkeitsalters sachlich weniger grosse Bedeutung zu als in anderen Staa- ten. Zudem dauert in unserer hochindustrialisierten Zeit die Berufsausbildung immer länger, so dass sehr viele der heuti- gen Jugendlichen wirtschaftlich erst recht spät auf eigenen Beinen stehen. Auf jeden Fall müssen die Vor- und Nachteile einer Herabsetzung des Mündigkeitsalters sorgfältig geprüft werden. Im übrigen ist es sinnvoll, das Problem in einem etwas breiteren Rahmen anzugehen und die Frage des in der Verfassung geregelten Stimm- und Wahlrechtsalters miteinzubeziehen. Schriftliche Erklärung des Bundesrates Déclaration écrite du Conseil fédéral Der Bundesrat beantragt, die Motion in ein Postulat umzu- wandeln. Diskussion verschoben - Discussion renvoyée #ST# 86.807 Motion Jaeger Umlegung der Fahrzeugsteuern auf den Treibstoffpreis Impôts sur les véhicules automobiles et supplément de prix sur les carburants Wortlaut der Motion vom 19. Dezember 1986 Der Bundesrat wird ersucht, spätestens zwei Jahre nach Annahme dieser Motion eine Vorlage einzubringen, wonach die kantonalen Motorfahrzeugsteuern durch einen Zuschlag auf dem Treibstoffpreis ersetzt werden sollen. Der Ertrag dieses Zuschlags soll den Kantonen zugutekommen. Texte de la motion du 19 décembre 1986 Le Conseil fédéral est chargé de présenter aux conseils législatifs - dans les deux ans qui suivront l'adoption de la présente motion - un projet prévoyant le remplacement des impôts cantonaux sur les véhicules automobiles par un supplément de prix sur les carburants. Le produit de ce supplément sera destiné aux cantons. Mitunterzeichner - Cosignataires: Grendelmeier, Günter, Maeder-Appenzell (3) Schriftliche Begründung - Développement par écrit Die geforderte Massnahme wird auf Seite 68f des «Berichts Luftreinhalte-Konzept» vom 10. September 1986 diskutiert. Dort findet sich auch die Begründung bezüglich der Auswir- kungen auf die Luftreinhaltung. Der Bundesrat möchte aber aus rein politischen Gründen auf diese Massnahme verzich- ten. Angesichts der Tatsache, dass die Massnahmen, die der Bundesrat ergreifen oder prüfen will, das im erwähnten Bericht gesetzte Ziel nicht erreichen, drängt sich die Umle- gung der Fahrzeugsteuern auf. Der neueste Sanasilva- Bericht zeigt, dass rasch gehandelt werden muss. Administrativ ist überdies zu bedenken, dass es weniger aufwendig wäre, den Motorfahrzeugverkehr nur auf eine Art zu belasten, um damit Erhebungskosten zu sparen. Schriftliche Stellungnahme des Bundesrates vom 9. März 1987 Rapport écrit du Conseil fédéral du 9 mars 1987 In den letzten Jahren sind verschiedene Vorstösse einge- reicht und geprüft worden, die die Motorfahrzeugsteuern auf den Treibstoffpreis umlegen wollten. Die damaligen Bedenken, wie der Eingriff in die kantonale Steuerhoheit, die Schwierigkeit, einen angemessenen Verteilschlüssel zu finden, der im Vergleich zum Ausland entstehende Benzin- preis, sind grundsätzlich heute noch gültig. Der Bundesrat ist indessen bereit, die Frage nochmals zu prüfen. In glei- chem Sinn hat er sich bereit erklärt, das Postulat der Kom- mission für Gesundheit und Umwelt vom 19. Februar 1987 betreffend Uebergang von fixen zu variablen Kosten im Motorfahrzeugverkehr (86.047) entgegenzunehmen. Schriftliche Erklärung des Bundesrates Déclaration écrite du Conseil fédéral Der Bundesrat beantragt, die Motion in ein Postulat umzu- wandeln. Ueberwiesen als Postulat - Transmis comme postulat #ST# 86.956 Motion Leuenberger Moritz Bankengesetz. Priorität für Teilrevision Loi sur les banques. Priorité à une révision partielle Wortlaut der Motion vom 10. Oktober 1986 Der Bundesrat wird eingeladen, eine Teilrevision des Ban- kengesetzes vorzuziehen, in welcher mindestens folgende Anliegen verwirklicht werden sollen: - Die Banken haben sich zu verpflichten, Kundinnen und Kunden ausnahmslos zu identifizieren, auch dann, wenn Gelder über Rechtsanwälte oder Treuhänder angelegt werden. - Aktive und passive Beihilfe zu Kapitalflucht und die Entge- gennahme von erkennbaren Fluchtgeldern ist zu verbieten. - Diese Bestimmungen umfassen auch ausländische Filia- len von Schweizer Banken. - Die Statistik der Nationalbank soll künftig auch Wertschrif- ten- und Wertsachendepots erfassen. Texte de la motion du 10 octobre 1986 Le Conseil fédéral est chargé de préparer en priorité une révision partielle de la loi sur les banques, qui permette d'atteindre au moins les objectifs suivants: - Les banques doivent s'engager à vérifier l'identité de tous les clients et clientes sans exception, même si des fonds sont déposés par des avocats ou des fiduciaires. - Il faut interdire aux banques d'apporter leur aide active ou passive à l'évasion de capitaux et d'accepterdes capitaux en fuite qui peuvent être reconnus comme tels. -Ces dispositions s'appliqueront également aux filiales étrangères de banques suisses. -A l'avenir, la statistique de la Banque nationale devra porter également sur les dépôts de titres et d'objets de valeur. Mitunterzeichner - Cosignataires: Ammann-St. Gallen, Bäumlin, Borei, Braunschweig, Bundi, Chopard, Deneys, Eggenberg-Thun, Euler, Fankhauser, Fehr, Friedli, Gloor,</w:t>
      </w:r>
    </w:p>
    <w:p>
      <w:r>
        <w:t>Schweizerisches Bundesarchiv, Digitale Amtsdruckschriften Archives fédérales suisses, Publications officielles numérisées Archivio federale svizzero, Pubblicazioni ufficiali digitali Motion Jaeger Umlegung der Fahrzeugsteuern auf den Treibstoffpreis Motion Jaeger Impôts sur les véhicules automobiles et supplément de prix sur les carburants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17 Séance Seduta Geschäftsnummer 86.807 Numéro d'objet Numero dell'oggetto Datum 20.03.1987 - 08:00 Date Data Seite 510-510 Page Pagina Ref. No 20 015 250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