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86.575 vom 19. Dezember 1986</w:t>
      </w:r>
    </w:p>
    <w:p>
      <w:r>
        <w:t>Bundesverwaltung, 1986-12-19, DE</w:t>
      </w:r>
    </w:p>
    <w:p>
      <w:r>
        <w:rPr>
          <w:b/>
        </w:rPr>
        <w:t xml:space="preserve">Quelle: </w:t>
      </w:r>
      <w:r>
        <w:t>https://mcp.opencaselaw.ch/entscheid/ch_vb_86.575</w:t>
      </w:r>
    </w:p>
    <w:p>
      <w:r>
        <w:t>FR: CH_VB 86.575 du 19 décembre 1986</w:t>
      </w:r>
    </w:p>
    <w:p>
      <w:r>
        <w:t>IT: CH_VB 86.575 del 19 dicembre 1986</w:t>
      </w:r>
    </w:p>
    <w:p>
      <w:pPr>
        <w:pStyle w:val="Heading2"/>
      </w:pPr>
      <w:r>
        <w:t>Erwägungen</w:t>
      </w:r>
    </w:p>
    <w:p>
      <w:r>
        <w:rPr>
          <w:b/>
        </w:rPr>
        <w:t>E. 19</w:t>
      </w:r>
    </w:p>
    <w:p>
      <w:r>
        <w:t>décembre 1986 Jahren eine wichtige Region dar. Die Nachbarländer Süd- afrikas sind in der SADCC (Southern African Development Coordination Conference) zusammengeschlossen, der fol- gend* Länder angehören: Angola, Botswana, Lesotho, Malawi, Mosambique, Tansania, Swaziland, Sambia und Simbabwe. Die Schweiz nimmt seit 1981 an den Jahresver- sammlungen der Gläubiger der SADCC teil. Für die Jahre 1984 bis 1986 belaufen sich die von der Schweiz für die Entwicklungszusammenarbeit in den SADCC-Ländern geleisteten Beträge auf 95 Millionen Fran- ken und jene für die humanitäre Hilfe auf 20 Millionen Fran- ken. Die hauptsächlichen Nutzniesser sind Tansania und Mozambique (sogenannte Schwerpunktländer der schwei- zerischen Entwicklungszusammenarbeit), gefolgt von Sim- babwe und Sambia. In den kommenden Jahren wird diese Politik der Konzentra- tion weitergeführt und - soweit dies eine effiziente Vorberei- tung entsprechender Projekte gestattet- nach Möglichkeit verstärkt werden. Derartige Projekte sind als integrierender Bestandteil unserer Entwicklungspolitik und der humanitä- ren Hilfe zu sehen und gehen zulasten der entsprechenden Programmkredite. Es ist deshalb nicht notwendig, dem Par- lament eine besondere Vorlage zu unterbreiten. Aus diesem Grund schlagen wir Ihnen vor, diese Motion in ein Postulat umzuwandeln. Schriftliche Erklärung des Bundesrates Déclaration écrite du Conseil fédéral Der Bundesrat beantragt, die Motion in ein Postulat umzu- wandeln. #ST# 86.948 Interpellation Braunschweig Südafrika. Massnahmen der Schweiz Sanctions contre l'Afrique du Sud. Attitude de la Suisse Wortlaut der Interpellation vom 9. Oktober 1986 Nachdem die Diskussion über die Vorstösse zum Apartheid- Regime in Südafrika (85.532, 85.540, 86.252, 86.516) hat verschoben werden müssen, bitte ich den Bundesrat, im Hinblick auf die Wintersession 1986 seine Antwort zeitlich nachzuführen und insbesondere zu den folgenden Fragen Stellung zu nehmen: 1. Der Bundesrat hat bisher alle diplomatischen und wirt- schaftlichen Massnahmen gegen die südafrikanische Regie- rung in undifferenzierter Weise abgelehnt. Befürchtet er nicht, dass seine Glaubwürdigkeit zu leiden beginnt nach den vielen verurteilenden Worten, denen keine Taten folgen? 2. Nach zahlreichen Sanktionsbeschlüssen in sehr verschie- denartigen Formen, zuletzt von EG und USA, befindet sich unser Land in einer sehr isolierten Lage. Einst hatten wir den Ruf, «Kriegsgewinnler» zu sein; heute stehen wir in der Gefahr, im Westen als «Sanktionsgewinnler» beurteilt zu werden. Teilt der Bundesrat diese Befürchtung? 3. Während der Bundesrat für ähnliche Entwicklungen jeweils zum vornherein festhielt, durch den «courant nor- mal» Umgehungsgeschäfte zu vermeiden, erklärte Bundes- rat Furgler in der Fragestunde vom 6. Oktober 1986 ebenso überraschend wie enttäuschend, dass der Bundesrat erst handle, wenn Anhaltspunkte für den Missbrauch der Schweiz als Drehscheibe für Ausweichgeschäfte festgestellt worden seien. Schon zwei Wochen zuvor sprach der Bun- desrat in seinem Communiqué nur von «Prüfung» der Mass- nahmen, die gegen Missbrauch zu treffen seien. Wie begründet der Bundesrat diese inkonsequente Praxisände- rung? Kann sich nicht auch in umgekehrter Richtung - zugunsten des Apartheid-Regimes - die Neutralitätsfrago stellen? 4. Als Herr Leutwiler, alt Präsident des Nationalbankdirekto- riums, eine Vermittlungsaktion zwischen der südafrikani- schen Regierung und Privatbanken begann, sagte or aus- drücklich, dass er seine Bemühungen sofort einstellen würde, wenn ihm der Bundesrat aus aussenpolitischen Gründen ein Signal geben würde. Ist der Zeitpunkt nicht gekommen, ein solches Signal zu setzen (nachdem eine Veränderung zur Freiheit und Menschenwürde bis heute leider nicht feststellbar ist), nachdem Herr Leutwiler in Süd- afrika nicht als Privatmann, sondern als «Schweizer Vermitt- ler» gesehen wird und nachdem der Eindruck sich immer deutlicher abzeichnet, dass sich seine Aktion zugunsten des Regimes auswirkt? Teilt der Bundesrat die Meinung, dass es auch für andere prominente Schweizer angemessen wäre, sich im Verkehr mit Südafrika grosser Zurückhaltung und Weisheit zu bedienen? 5. Wieviele Goldmünzen aus Südafrika wurden in den letz- ten zwei Jahren importiert? Fördert die Abschaffung der Wust auf den Goldhandel von Nichtbankiers den Krüger- rand-Verkauf in der Schweiz? Texte de l'interpellation du 9 octobre 1986 Après le renvoi du débat sur les interventions portant sur le régime d'apartheid en Afrique du Sud (85.532, 85.540, 86.252, 85.516), je prie le Conseil fédéral de répondre promptement, en prévision de la session d'hiver 1986, aux questions suivantes: Lila jusqu'ici rejeté en bloc toute mesure diplomatique ou économique contre l'Afrique du Sud. Ne craint-il pas que sa crédibilité commence à souffrir du fait que ses multiples condamnations verbales ne sont suivies d'aucune action? 2. Après les nombreuses sanctions décidées dans les domaines les plus divers, notamment par la Communauté européenne et les Etats-Unis, notre pays est très isolé. Nous avions autrefois la réputation d'être des «profiteurs de guerre». Nous courons aujourd'hui le risque de nous voir qualifier de «profiteurs de sanctions». Le Gouvernement partage-t-il cette crainte? 3. Alors que le Gouvernement a toujours exprimé jusqu'ici sa volonté dans de tels cas de maintenir le courant normal et d'éviter qu'on abuse de la position de la Suisse, le conseiller fédéral Furgler a déçu et surpris en affirmant, lors de l'heure des questions du 6 octobre 1986, que le collège gouverne- mental n'agirait qu'après avoir constaté des indices laissant présumer qu'on se servait de notre pays pour contourner des sanctions. Deux semaines auparavant, le Conseil fédéral s'était contenté d'évoquer dans un communiqué un «examen» des mesures à prendre contre les abus. Comment peut-il justifier cet inconséquent changement d'attitude? La question de la neutralité de la Suisse ne risque-t-elle pas d'être posée en sens inverse, à savoir celui d'une préférence pour le régime de l'apartheid? 4. Lorsque Monsieur Leutwiler, ancien président de la Direc- tion générale de la Banque Nationale Suisse engagea une opération de médiation entre le gouvernement sud-africain et les banques privées, il déclara expressément qu'il mettrait fin à ses efforts dès que le Conseil fédéral lui en donnerait l'ordre pour des motifs de politique étrangère. N'ost-il pas temps de prendre une décision en ce sens, vu qu'une évolution en direction des libertés et de la dignité humaine n'est pas discernable, d'autant que Monsieur Leutwilor n'est pas reçu en Afrique du Sud à titre privé mais bien comme «médiateur suisse», et que son action donne toujours plus nettement l'impression d'être en faveur du régime sud- africain? Le Conseil fédéral est-il d'avis que d'autres Suisses éminents devraient se comporter avec plus de retenue et faire davantage preuve de bon sens dans leurs relations avec la République sud-africaine? 5. Combien de pièces d'or a-t-on importé ces deux dernières années d'Afrique du Sud? L'abolition de l'ICHA sur l'or on faveur de non-banquiers favorise-t-il la vente de rands on Suisse?</w:t>
      </w:r>
    </w:p>
    <w:p>
      <w:r>
        <w:t>Schweizerisches Bundesarchiv, Digitale Amtsdruckschriften Archives fédérales suisses, Publications officielles numérisées Archivio federale svizzero, Pubblicazioni ufficiali digitali Motion Rechsteiner Unterstützung der Frontstaaten Südafrikas Motion Rechsteiner Afrique australe. Aide aux pays de la ligne du front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13 Séance Seduta Geschäftsnummer 86.575 Numéro d'objet Numero dell'oggetto Datum 19.12.1986 - 08:00 Date Data Seite 2011-2012 Page Pagina Ref. No</w:t>
      </w:r>
    </w:p>
    <w:p>
      <w:r>
        <w:rPr>
          <w:b/>
        </w:rPr>
        <w:t>E. 20</w:t>
      </w:r>
    </w:p>
    <w:p>
      <w:r>
        <w:t>015 021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