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86.574 vom 19. Dezember 1986</w:t>
      </w:r>
    </w:p>
    <w:p>
      <w:r>
        <w:t>Bundesverwaltung, 1986-12-19, DE</w:t>
      </w:r>
    </w:p>
    <w:p>
      <w:r>
        <w:rPr>
          <w:b/>
        </w:rPr>
        <w:t xml:space="preserve">Quelle: </w:t>
      </w:r>
      <w:r>
        <w:t>https://mcp.opencaselaw.ch/entscheid/ch_vb_86.574</w:t>
      </w:r>
    </w:p>
    <w:p>
      <w:r>
        <w:t>FR: CH_VB 86.574 du 19 décembre 1986</w:t>
      </w:r>
    </w:p>
    <w:p>
      <w:r>
        <w:t>IT: CH_VB 86.574 del 19 dicembre 1986</w:t>
      </w:r>
    </w:p>
    <w:p>
      <w:pPr>
        <w:pStyle w:val="Heading2"/>
      </w:pPr>
      <w:r>
        <w:t>Erwägungen</w:t>
      </w:r>
    </w:p>
    <w:p>
      <w:r>
        <w:rPr>
          <w:b/>
        </w:rPr>
        <w:t>E. 19</w:t>
      </w:r>
    </w:p>
    <w:p>
      <w:r>
        <w:t>décembre 1986 1986). Diese Methode hätte vor allem den Vorteil, dass die Empfänger von Renten und Empfänger von Kapitalleistun- gen dem Grundsatz nach steuerlich gleichgestellt wären. Damit wäre dem allgemeinen Gebot der Belastung nach der wirtschaftlichen Leistungsfähigkeit und der BVG- Konzep- tion (voller Abzug der Beiträge, volle Besteuerung der Lei- stungen) weit besser Rechnung getragen als mit der getrennten Besteuerung zum Rentensatz. Doch hat sich die getrennte Besteuerung der Kapitalleistungen aus Vorsorge ab 1987 nicht nur bei der direkten Bundessteuer, sondern in den meisten kantonalen Steuerordnungen durchgesetzt. Aus diesem Grunde scheint uns die Rückkehr zur Zusam- menrechnung in den Gesetzesentwürfen politisch kaum rea- lisierbar zu sein. b. Eine weitere Korrekturmassnahme wäre die Einführung eines Minimalsatzes. Kapitalleistungen aus Vorsorge wür- den gesondert und zum Rentensatz besteuert (Recht 1987), aber mindestens zu einem Satz von beispielsweise 1,5 Pro- zent. Berechnungen haben indessen ergeben, dass diese Lösung sich belastungsmässig sehr unterschiedlich aus- wirkt: Je nach Alter, Zivilstand und Kinderzahl des Vorsorge- nehmers sowie der Höhe der Kapitalleistungen sind Minder- belastungen, aber auch zum Teil erhebliche Mehrbelastun- gen von über 100 Prozent gegenüber dem Recht 1986 zu verzeichnen. Bei Anwendung eines Minimalsatzes von 1 Prozent ändert sich das Bild nicht wesentlich. Auch in verfassungsrechtlicher Hinsicht bestehen Bedenken gegen die Minimalsatzlösung, jedenfalls soweit ihr ein Einkommen unterstellt würde, das unter der in Artikel 41ter Absatz 5 Buchstabe c BV festgelegten Mindestgrenze liegt (z. B. bei einer Kapitalleistung von 5000 oder 10000 Franken). Eine solche Regelung wäre daher unseres Erachtens keine taug- liche Korrekturmassnahme. c. Als dritte Möglichkeit bietet sich die getrennte Besteue- rung der Kapitalleistungen aus Vorsorge unter Verzicht auf die Besteuerung zum Rentensatz an. Bei der direkten Bun- dessteuer müsste in diesem Fall die Besteuerung zum vollen ordentlichen Tarif zu erheblichen Mehrbelastungen gegen- über dem Recht 1986 führen. Solche sind indessen nicht beabsichtigt, sondern es gilt lediglich zu vermeiden, dass Kapitalleistungen aus Vorsorge steuerlich privilegiert wer- den. Um die Belastung solcher Leistungen im Rahmen des Rechts 1986 zu halten, müsste deshalb die Berechnung zu einem stark reduzierten Tarif, z. B. zu einem Fünftel oder zu einem Viertel des ordentlichen Tarifes, erfolgen. Diese Lösung hat dem Grundsatz nach auch schon in den Steuer- ordnungen mehrerer Kantone ab 1987 Eingang gefunden. Schriftliche Erklärung des Bundesrates Déclaration écrite du Conseil fédéral Der Bundesrat beantragt, die Motion in ein Postulat umzu- wandeln. Ueberwiesen als Postulat - Transmis comme postulat #ST# 86.597 Motion Schmidhalter «Eurorail 2000» EURORAIL 2000 Wortlaut der Motion vom 2. Oktober 1986 Der Bundesrat wird eingeladen, in Ergänzung und Auswei- tung zum Konzept «Bahn 2000» ein Konzept «Bahn 2000 in- ternational» zu entwerfen und dem Parlament vorzulegen. Die Arbeiten sind vornehmlich auf folgende Massnahmen zu konzentrieren: 1. Mit den angrenzenden Ländern Deutschland, Italien und Frankreich ist ein Betriebskonzept der europäischen Eisen- bahnnetze (Europäischer Infrastrukturleitplan) festzulegen. Dieses Betriebskonzept verlangt eine sofortige Konzentra- tion auf den Ausbau der sorgfältig ausgewählten Hauptlei- tungswege. Dies kann vornehmlich erfolgen durch Zusam- menfassung des Verkehrs und Konzentration auf zentral gelegene Grenz- und Rangierbahnhöfe und damit Zugbil- dung auf weite Distanzen sowie Ausbau der Zufahrten zu grossen Städten und Umgestaltung der Zugsförderung (z. B. europäisch einsetzbare Hochgeschwindigkeitszüge). 2. Mittelfristig ist die Aufwertung und der Ausbau der beste- henden Nord/Süd-Verbindungen Simplon- und Gotthardli- nie durch Kapazitäts- und Geschwindigkeitssteigerungen auf den Zufahrtslinien zu den bestehenden Alpendurchsti- chen voranzutreiben. 3. Es sind eigene Hochgeschwindigkeitszüge, bestehend aus der neuen «Bahn 2000»-Lokomotive und weiterentwik- kelten Einheitswagen mit Höchstgeschwindigkeiten von etwa 230 km/h, zu formieren und so schnell als möglich auf diesen internationalen Transportstrecken Gotthard und Simplon einzusetzen. 4. Gleichzeitig ist auf den drei Nord/Südlinien der kombi- nierte Verkehr (Huckepack und Container) derart zu fördern, dass der Transitschwerverkehr auf die Bahn umgelagert wird. 5. Auf der Grundlage des Europäischen Infrastrukturplanes ist der Linienführungsentscheid und Baubeschluss für eine notwendige neue Alpeneisenbahntransversale auszuarbei- ten, wobei die Variante Splügen, Y-Variante Ständerat Cavelty, Gotthardbasistunnel und Basistunnel Lötschberg zu untersuchen sind. Texfe de la motion du 2 octobre 1986 Le Conseil fédéral est invité à élaborer et à soumettre au Parlement une conception RAIL 2000 international en tant que complément et prolongement de la conception RAIL 2000. Les travaux doivent se concentrer essentiellement sur les points suivants: 1.11 convient d'établir avec les pays limitrophes (Allemagne, Italie et France) une conception d'exploitation des réseaux ferroviaires européens (plan directeur européen d'infras- tructure). Cette conception exige qu'on mette tout de suite l'accent sur l'aménagement de lignes principales soigneuse- ment choisies. Cela peut se réaliser surtout par la concentra- tion du trafic sur des gares frontière et sur des gares de triage centrales et par la formation de trains sur de longues distances, ainsi que par l'extension des accès aux grand villes et la réorganisation de la traction (p. ex. utilisation de trains à grande vitesse en Europe). 2. Il y a lieu, à moyen terme, d'accélérer la revalorisation et l'extension des liaisons nord-sud du Simplon et du Saint- Gothard en augmentant la capacité et la vitesse sur les lignes d'accès aux transversales alpines existantes. 3. Il faut former des trains à grande vitesse, comprenant une locomotive conforme à la conception RAIL 2000 et des voi- tures de type unifié amélioré capables de rouler jusqu'à 230 km/h, et les mettre en service dès que possible sur ces tronçons de lignes internationales de transport que repré- sentent le Saint-Gothard et le Simplon. 4. Il s'agit d'encourager simultanément le trafic combiné (ferroutage et conteneurs) sur les trois lignes nord/sud de telle sorte que le trafic de transit des poids lourds passe de la route au rail. 5. Il faut, compte tenu du plan européen d'infrastructure, élaborer la décision relative au tracé et l'arrêté concernant la construction d'une nouvelle transversale alpine, dont la nécessité s'impose; on examinera à ce propos la variante du Splügen, la variante Y de M. Cavelty, député au Conseil des Etats, ainsi que celles des tunnels de base du Saint-Gothard et du Lötschberg. Mitunterzeichner- Cosignataires: Aliesch, Aregger, Aubry, Butty, de Chastonay, Couchepin, Dünki, Dupont, Eggli-Win- terthur, Eng, Etique, Fankhauser, Friedli, Gehler, Grassi, Kohler Raoul, Massy, Meizoz, Müller-Meilen, Nussbaumer,</w:t>
      </w:r>
    </w:p>
    <w:p>
      <w:r>
        <w:t>Schweizerisches Bundesarchiv, Digitale Amtsdruckschriften Archives fédérales suisses, Publications officielles numérisées Archivio federale svizzero, Pubblicazioni ufficiali digitali Motion Neukomm Berufliche Vorsorge. Besteuerung von Kapitalleistungen Motion Neukomm Institutions de prévoyance professionnelle. Imposition des prestations en capital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86.574 Numéro d'objet Numero dell'oggetto Datum 19.12.1986 - 08:00 Date Data Seite 2033-2034 Page Pagina Ref. No</w:t>
      </w:r>
    </w:p>
    <w:p>
      <w:r>
        <w:rPr>
          <w:b/>
        </w:rPr>
        <w:t>E. 20</w:t>
      </w:r>
    </w:p>
    <w:p>
      <w:r>
        <w:t>015 030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