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86.559 vom 22. September 1986</w:t>
      </w:r>
    </w:p>
    <w:p>
      <w:r>
        <w:t>Bundesverwaltung, 1986-09-22, DE</w:t>
      </w:r>
    </w:p>
    <w:p>
      <w:r>
        <w:rPr>
          <w:b/>
        </w:rPr>
        <w:t xml:space="preserve">Quelle: </w:t>
      </w:r>
      <w:r>
        <w:t>https://mcp.opencaselaw.ch/entscheid/ch_vb_86.559</w:t>
      </w:r>
    </w:p>
    <w:p>
      <w:r>
        <w:t>FR: CH_VB 86.559 du 22 septembre 1986</w:t>
      </w:r>
    </w:p>
    <w:p>
      <w:r>
        <w:t>IT: CH_VB 86.559 del 22 settembre 1986</w:t>
      </w:r>
    </w:p>
    <w:p>
      <w:pPr>
        <w:pStyle w:val="Heading2"/>
      </w:pPr>
      <w:r>
        <w:t>Erwägungen</w:t>
      </w:r>
    </w:p>
    <w:p>
      <w:r>
        <w:rPr>
          <w:b/>
        </w:rPr>
        <w:t>E. 4</w:t>
      </w:r>
    </w:p>
    <w:p>
      <w:r>
        <w:t>Kann der Bundesrat in Ergänzung zum Sechsten Land- wirtschaftsbericht (Abschnitt 236.43) angeben, - auf welchen Betrag sich die Erstattungen, Welche die EWG für ihre Ausfuhren in die Schweiz gewährt, zurzeit belaufen; - wie sich diese Ausfuhrerstattungen auf unsere Agrarpolitik auswirken?</w:t>
      </w:r>
    </w:p>
    <w:p>
      <w:r>
        <w:rPr>
          <w:b/>
        </w:rPr>
        <w:t>E. 5</w:t>
      </w:r>
    </w:p>
    <w:p>
      <w:r>
        <w:t>Dans quel délai et sur quels objets le Conseil fédéral envisage-t-il des négociations avec la CEE dans le domaine agricole? (voir Bulletin officiel du CN 1986, p. 1109. conseil- ler fédéral Furgler: «Die Verbesserung der Situation ist dringlich».) Mitunterzeichner-Cosignataires: Aliesch, Berger, Bonnard, Bonny, Bremi, Candaux, Cevey, de Chastonay, Göltet, Cou- tau, Dirren, Dubois, Dupont, Eggly-Genève, Etique, Frey, Giudici, Grassi, Kohler Raoul, Martin, Massy, Perrey, Petit- pierre, Pini, Reich, Rime, Salvioni, Savary-Fribourg, Savary- Vaud, Schmidhalter, Spalti, Thévoz, Villiger, Wanner (34) Schriftliche Begründung - Développement par écrit L'auteur renonce au développement et demande une réponse écrite. Schriftliche Stellungnahme des Bundesrates vom 2. März 1987 Rapport écrit du Conseil fédéral du 2 mars 1987 1. et 2. Il convient avant tout de rappeler que les produits agricoles ne sont pas couverts par l'accord de libre-échange Suisse-CEE de 1972. Toutefois, selon l'article 15 de l'accord les parties contractantes se déclarent prêtes à favoriser, dans le respect de leurs politiques agricoles, le développe- ment harmonieux des échanges de produits agricoles. Elles s'engagent en outre à éviter toute discrimination en matière vétérinaire, sanitaire et phytosanitaire. Enfin, le Comité mixte Suisse-CEE a la tâche d'examiner les difficultés qui pourraient apparaître dans les échanges de produits agri- coles. Nos relations agricoles avec la CEE sont réglées sur la base d'un certain nombre d'arrangements, sous forme d'échanges de lettres, qui ont été négociés avec la Commu- nauté sur une base pragmatique, au fur et à mesure que le besoin s'en faisait sentir. Ils concernent notamment nos exportations de fromage et de bétail, ainsi que les importa- tions de vin, d'alcools forts, de viande et de fleurs coupées. (Les dernières négociations agricoles avec la Communauté ont eu Neuen 1980 (FF 1980 III, 1073) et en 1986 à l'occasion des négociations Suisse-CE concernant l'adhésion de l'Es- pagne et du Portugal à la Communauté (FF 1986 III, 3).) Ces accords ont été en bonne partie négociés dans le cadre multilatéral du GATT. Lorsqu'ils contiennent des conces- sions tarifaires de notre part, celles-ci ont été étendues à l'ensemble de nos partenaires commerciaux sur la base du principe de la nation la plus favorisée. Conscients de l'im- portance pour notre économie du maintien d'un système commercial multilatéral ouvert, nous avons participé active- ment aux différents cycles de négociations multilatérales dans le cadre du GATT destinés à favoriser les échanges commerciaux des pays développés et des pays en dévelop- pement. Le Conseil fédéral est décidé à maintenir cette politique. Il a fait preuve de sa détermination en la matière l'année dernière lors du lancement de l'Uruguay Round (cf. Rapport sur la politique économique extérieure 1986/2). 3. L'adhésion de l'Espagne et du Portugal à la CE n'a pas modifié sensiblement nos échanges agricoles avec ces deux pays et avec la Communauté. En ce qui concerne nos importations, les arrangements quantitatifs et certains arrangements tarifaires que nous avions avec l'Espagne et le Portugal avant leur adhésion n'ont pas été modifiés. Cela vaut en particulier pour les contingents de vin rouge en fûts en provenance de l'Espagne et du Portugal et de fleurs</w:t>
      </w:r>
    </w:p>
    <w:p>
      <w:r>
        <w:t>Schweizerisches Bundesarchiv, Digitale Amtsdruckschriften Archives fédérales suisses, Publications officielles numérisées Archivio federale svizzero, Pubblicazioni ufficiali digitali Interpellation Eisenring Gatt-Konferenz von Punta del Este Interpellation Eisenring Conférence du GATT à Punta del Este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04 Séance Seduta Geschäftsnummer 86.559 Numéro d'objet Numero dell'oggetto Datum 04.03.1987 - 16:00 Date Data Seite 100-101 Page Pagina Ref. No 20 015 150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