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86.225 vom 4. März 1987</w:t>
      </w:r>
    </w:p>
    <w:p>
      <w:r>
        <w:t>Bundesverwaltung, 1987-03-04, DE</w:t>
      </w:r>
    </w:p>
    <w:p>
      <w:r>
        <w:rPr>
          <w:b/>
        </w:rPr>
        <w:t xml:space="preserve">Quelle: </w:t>
      </w:r>
      <w:r>
        <w:t>https://mcp.opencaselaw.ch/entscheid/ch_vb_86.225</w:t>
      </w:r>
    </w:p>
    <w:p>
      <w:r>
        <w:t>FR: CH_VB 86.225 du 4 mars 1987</w:t>
      </w:r>
    </w:p>
    <w:p>
      <w:r>
        <w:t>IT: CH_VB 86.225 del 4 marzo 1987</w:t>
      </w:r>
    </w:p>
    <w:p>
      <w:pPr>
        <w:pStyle w:val="Heading2"/>
      </w:pPr>
      <w:r>
        <w:t>Erwägungen</w:t>
      </w:r>
    </w:p>
    <w:p>
      <w:r>
        <w:rPr>
          <w:b/>
        </w:rPr>
        <w:t>E. 4</w:t>
      </w:r>
    </w:p>
    <w:p>
      <w:r>
        <w:t>März 1987 N 111 Parlamentarische Initiative (Jaeger) Schriftliche Stellungnahme des Bundesrates vom 1. Dezember 1986 Rapport écrit du Conseil fédéral du 1er décembre 1986 Nach Artikel 2 BMM ist dieser Beschluss auf Mietverhält- nisse in Gemeinden anwendbar, wo Wohnungsnot oder Mangel an Geschäftsräumen herrscht. Artikel 3 schreibt vor, dass der Bundesrat die Gemeinden zu bezeichnen hat, wo diese Voraussetzungen zutreffen. Diesem Auftrag ist er in der Verordnung vom 11. Dezember 1978 über die Unterstel- lung der Gemeinden unter den Bundesbeschluss über Massnahmen gegen Missbräuche im Mietwesen, die ver- schiedentlich abgeändert wurde, nachgekommen. Wird Artikel 34septies BV in der Abstimmung vom 7. Dezem- ber 1986 von Volk oder Ständen abgelehnt, wird die heutige Regelung, wonach die Missbrauchsbestimmungen nur in den vom Bundesrat bezeichneten Gemeinden gelten, wei- terbestehen. Der Bundesrat müsste dann - wie bisher - aufgrund der Leerwohnungszählung und anderer Indikato- ren bestimmen, wo die Voraussetzungen für die Unterstel- lung erfüllt sind, und eine generelle Unterstellung aller Gemeinden käme nicht in Frage. Wird hingegen die Verfassungsrevision angenommen, so hat die gesetzgebende Behörde den BMM in dem Sinn abzuändern, dass er dem revidierten Artikel 34septies BV nicht mehr entgegensteht. Für den Bundesrat bestünde indessen keine Möglichkeit, auf dem Verordnungsweg die ganze Schweiz dem BMM zu unterstellen, denn seine Zuständigkeit würde sich nach wie vor auf Artikel 2 und 3 BMM stützen und wäre somit auf die Unterstellung von Gemeinden mit Wohnungsnot oder Mangel an Geschäfts- räumen beschränkt.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