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86.222 vom 18. März 1987</w:t>
      </w:r>
    </w:p>
    <w:p>
      <w:r>
        <w:t>Bundesverwaltung, 1987-03-18, DE</w:t>
      </w:r>
    </w:p>
    <w:p>
      <w:r>
        <w:rPr>
          <w:b/>
        </w:rPr>
        <w:t xml:space="preserve">Quelle: </w:t>
      </w:r>
      <w:r>
        <w:t>https://mcp.opencaselaw.ch/entscheid/ch_vb_86.222</w:t>
      </w:r>
    </w:p>
    <w:p>
      <w:r>
        <w:t>FR: CH_VB 86.222 du 18 mars 1987</w:t>
      </w:r>
    </w:p>
    <w:p>
      <w:r>
        <w:t>IT: CH_VB 86.222 del 18 marzo 1987</w:t>
      </w:r>
    </w:p>
    <w:p>
      <w:pPr>
        <w:pStyle w:val="Heading2"/>
      </w:pPr>
      <w:r>
        <w:t>Erwägungen</w:t>
      </w:r>
    </w:p>
    <w:p>
      <w:r>
        <w:rPr>
          <w:b/>
        </w:rPr>
        <w:t>E. 18</w:t>
      </w:r>
    </w:p>
    <w:p>
      <w:r>
        <w:t>März 1987 397 Parlamentarische Initiative (Weber Monika) die Bundesrepublik Deutschland betrifft. Das Bundesverfas- sungsgericht hat die Fristenlösung vereitelt. Man muss sich nicht einig sein in der Frage der Fristenlösung. Aber unter Schweizern ist man sich relativ einig, dass in einer solchen Frage der Gesetzgeber, der politisch verantwortlich ist, das letzte Wort haben soll und nicht der Richter. Dieser entscheidet nämlich nicht aufgrund der geschriebenen Ver- fassung, er tut bloss so. Die geschriebene Verfassung sagt nichts über die Fristenlösung, da muss man schon etwas hineininterpretieren. Man geht dabei von einer bestimmten Weltanschauung aus, die liberal, linksliberal oder konserva- tiv sein kann. Man liest dann aus der Verfassung das Welt- bild heraus, das man vorher in sie hineingebracht hat. Das war nachweisbar bei vielen verfassungsgerichtlichen Entscheidungen in wichtigen politischen Fragen so. Das möchte ich nicht. Die Verfassungsgerichtsbarkeit würde noch zu einer vermehrten Politisierung unserer Richterwah- len führen - eine meiner weiteren Sorgen. In beschränktem Mass - soweit dies zu verantworten ist - haben wir in der Schweiz eine Verfassungsgerichtsbarkeit gegenüber den Kantonen. Dies ist nötig, um die Einheit der Rechtsordnung im Bundesstaat durchzusetzen. Das ist pro- blemlos. Wir haben zudem eine gewisse Ueberprüfung der Verordnungen des Bundesrates; auch das halte ich für richtig. Aber es ist problematisch, weiter zu gehen, ausser wenn sich Neuerungen aufdrängen sollten wegen der Pro- blematik, die sich daraus ergibt, dass Fälle, die nicht an das Bundesgericht gezogen werden, in Strassburg hängig gemacht werden können. Diese Problematik soll weiter geprüft werden. Sonst bin ich mit meiner Fraktion der Ansicht, man solle zurückhaltend sein, so sehr - abstrakt betrachtet - die Idee verlockend erscheinen mag. Sie würde uns politisch auf Wege bringen, die mit unserer Referendumsdemokratie kaum vereinbar wären.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Parlamentarische Initiative (Weber Monika) Verfassungsgerichtsbarkeit Initiative parlementaire (Weber Monika) Juridiction constitutionnelle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13 Séance Seduta Geschäftsnummer 86.222 Numéro d'objet Numero dell'oggetto Datum 18.03.1987 - 08:00 Date Data Seite 392-397 Page Pagina Ref. No</w:t>
      </w:r>
    </w:p>
    <w:p>
      <w:r>
        <w:rPr>
          <w:b/>
        </w:rPr>
        <w:t>E. 20</w:t>
      </w:r>
    </w:p>
    <w:p>
      <w:r>
        <w:t>015 201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