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86.184 vom 11. März 1987</w:t>
      </w:r>
    </w:p>
    <w:p>
      <w:r>
        <w:t>Bundesverwaltung, 1987-03-11, DE</w:t>
      </w:r>
    </w:p>
    <w:p>
      <w:r>
        <w:rPr>
          <w:b/>
        </w:rPr>
        <w:t xml:space="preserve">Quelle: </w:t>
      </w:r>
      <w:r>
        <w:t>https://mcp.opencaselaw.ch/entscheid/ch_vb_86.184</w:t>
      </w:r>
    </w:p>
    <w:p>
      <w:r>
        <w:t>FR: CH_VB 86.184 du 11 mars 1987</w:t>
      </w:r>
    </w:p>
    <w:p>
      <w:r>
        <w:t>IT: CH_VB 86.184 del 11 marzo 1987</w:t>
      </w:r>
    </w:p>
    <w:p>
      <w:pPr>
        <w:pStyle w:val="Heading2"/>
      </w:pPr>
      <w:r>
        <w:t>Erwägungen</w:t>
      </w:r>
    </w:p>
    <w:p>
      <w:r>
        <w:rPr>
          <w:b/>
        </w:rPr>
        <w:t>E. 11</w:t>
      </w:r>
    </w:p>
    <w:p>
      <w:r>
        <w:t>März 1987 97 Motion Schmid Bundesrat Stich: Der Bundesrat ist sich der Bedeutung des Energiesparens durchaus bewusst. Er selber hat bereits verschiedentlich versucht, Vorstösse zu unternehmen, um auch mit marktwirtschaftlichen Mitteln einen gewissen Erfolg zu erreichen. Es stellen sich aber verschiedene Schwierigkeiten ein. Ein erster Punkt: Nach den Bestimmungen des Warenum- satzsteuerrechtes können selbst die als Grossisten steuer- pflichtigen Unternehmen Anlage- oder Investitionsgüter sowie Betriebsmittel nur mit der Warenumsatzsteuer bela- stet einführen oder beziehen. Zum Kreis solcherart belaste- ter Güter und Waren zählen Investitionen jeglicher Art, somit auch solche, die der Einsparung von Energie dienen. Bereits in den siebziger Jahren wurden Bestrebungen unternom- men, um den der geltenden Grossisten-Warenumsatzsteuer anhaftenden Mangel der Investitionsbesteuerung zu beseiti- gen. Dieses Vorhaben, das im Rahmen der Umgestaltung der Grossisten-Warenumsatzsteuer in eine Umsatzsteuer mit Vorsteuerabzug-der sogenannten Mehrwertsteuer-zu verwirklichen versucht wurde, scheiterte indessen sowohl in der Volksabstimmung vom 12. Juni 1977 als auch im Urnen- gang vom 20. Mai 1979. Mit einer am 16. März 1981 vom Nationalrat und am 3. Juni 1981 vom Ständerat überwiesenen Motion wurde der Bun- desrat beauftragt, den eidgenössischen Räten eine Revision der Umsatzbesteuerung vorzulegen, womit die strukturellen Unebenheiten des geltenden Rechtes bereinigt und die nachteiligen Folgen für den Wettbewerb der schweizeri- schen Wirtschaft gemildert werden sollten. Die gestützt auf diese Motion vom Eidgenössischen Finanz- departement eingesetzte Studienkommission erstattete am 19. Januar 1983 ihren Bericht zur Revision der Umsatzbe- steuerung. Entsprechend dem Anliegen der vorhin erwähn- ten Motion bildete die Beseitigung der auch als Taxe occulte bezeichneten Folge der Besteuerung von Investionen und Betriebsmitteln vordringliches Revisionsziel und Kernstück der von der Studienkommission vorgeschlagenen Mass- nahmen. Aufgrund der Ergebnisse des Vernehmlassungsverfahrens, das zum Schlussbericht der Studienkommission für die Revision der Umsatzbesteuerung vom 19. Januar 1983 durchgeführt worden war, musste der Bundesrat jedoch zum Schluss gelangen, dass die von der Studienkommis- sion vorgeschlagenen Revisionsmassnahmen insgesamt keine Gewähr dafür bieten könnten, den Ausgleich der durch die Eliminierung der Taxe occulte bewirkten Steuer- ausfälle sicherzustellen. Dies bewog den Bundesrat in sei- ner Sitzung vom 3. Dezember 1984, das Geschäft mit dem Auftrag, weitere Modelle für eine Reform der Warenumsatz- steuer zu prüfen, an das eidgenössische Finanzdepartement zurückzuweisen. Verschiedene Motionen der eidgenössischen Räte verlan- gen, dass die Ausschaltung der Taxe occulte wesentliches Ziel der Bestrebungen für eine Reform der schweizerischen Umsatzbesteuerung zu sein habe. Wird dieses Ziel erreicht, so lässt sich damit - jedenfalls in einem bestimmten Umfange (nämlich für die Grossisten der Warenumsatz- steuer, für die anderen nicht) - auch die Massnahme ver- wirklichen, welche in der vorliegenden Motion angeregt wird. Allerdings kann im Rahmen einer modernen Umsatz- besteuerung eine steuerliche Freistellung von Investitionen und Betriebsmitteln nur soweit in Betracht kommen, als solche Güter von steuerpflichtigen Unternehmen für die Ausführung von der Steuer unterliegenden Umsätzen ver- wendet werden. Eine weiterreichende Steuerbefreiung von Investitionen, insbesondere von Anlagegütern, die an nicht der Steuerpflicht unterstellte Unternehmen oder an Private geliefert werden, stände mit einer systemgerechten Ausge- staltung der Umsatzsteuer nicht im Einklang. Eine auf die steuerpflichtigen Unternehmen beschränkte Steuerentla- stung der Produktionsmittel (Investitionen und Betriebsmit- tel) entspricht daher auch den ausländischen Umsatzsteuer- ordnungen, welche das Mehrwertsteuersystem kennen. Die Studienkommission für die Revision der Umsatzbe- steuerung hat in ihrem Schlussbericht vom 19. Januar 1983 ebenfalls eine solche Lösung vorgeschlagen. An einer Steuerbefreiung der Investitionen und Betriebsmittel im erwähnten Umfang wird deshalb auch bei der Ausarbeitung weiterer Modelle für die Reform der Warenumsatzsteuer festzuhalten sein. Ich muss nochmals darauf hinweisen, dass die Steuerbefrei- ung im Rahmen der Warenumsatzsteuer natürlich immer nur die Grossisten betrifft. Wenn man ausserfiskalische Zwecke verfolgen möchte, ist das also ein ungeeignetes System. Ein zweiter Punkt: Die Warenkategorien Gas, Elektrizität und Brennstoffe bilden Bestandteil der in Artikel 14 Absatz 1 Buchstabe b des Warenumsatzsteuer-Beschlusses enthalte- nen Liste der generell steuerbefreiten Waren. Auf dieser Freiliste figurieren vornehmlich Güter, die für den täglichen Bedarf unerlässlich sind. Deren Befreiung von der Steuer beruht daher vorab auf sozialpolitischen Erwägungen. Gewiss ist einzuräumen, dass sich das Problem der steuerli- chen Vorzugsbehandlung dieser Energieträger in der heuti- gen Zeit, in der es sich noch viel mehr als früher darum handelt, mit der Energie sparsam umzugehen, etwas anders stellt. Der Bundesrat hat bereits im Jahre 1980 dem Parlament vorgeschlagen, die von der Steuer befreiten Umsätze der erwähnten Energieträger von der Freiliste zu streichen. Die- ses Vorhaben scheiterte jedoch, weil beide Räte beschlos- sen, auf jene Vorlage des Bundesrates nicht einzutreten. Wenn man für die Energieträger also die Belastung mit der Warenumsatzsteuer wählt, so trifft diese Steuer natürlich nur die Leute, die nicht Grossisten sind, d. h. die Konsumen- ten und die Unternehmen, die nicht als Grossisten eingetra- gen sind. Deshalb ist ein solches System vom Ziel her, Einsparungen im Energieverbrauch zu erreichen, nicht ge- eignet. Gescheitert ist aber auch die Heizölzollvorlage. Vielleicht glauben Sie heute, dass der Bundesrat dort nicht einfach die Bundeskasse füllen wollte, sondern dass er in dieser Hin- sicht tatsächlich ein Zeichen im Sinn des Motionärs setzen wollte. Im Rahmen der Ausarbeitung eines neuen Energieartikels in der Bundesverfassung, Artikel 24octies, steht zur Diskus- sion, ob der Bund die Kompetenz erhalten soll, eine wirkli- che Energieabgabe zu erheben. Aus diesen Erwägungen heraus beantragt Ihnen der Bundesrat, die Motion in ein Postulat umzuwandeln, und ist bereit, das Postulat entge- genzunehmen. Schmid: Ich danke Herrn Bundesrat Stich für seine Antwort, muss aber ehrlicherweise sagen, dass ich in zwei Punkten nicht befriedigt bin. Er kann dieser Motion aus steuersyste- matischen Gründen, wie ich bemerkte, nicht sehr viel abge- winnen. Das eine Argument lautete, eine Steuerbefreiung, die an Nichtgrossisten weitergegeben werde, sei aus steuer- systematischen Gründen nicht möglich, das andere Argu- ment bestand in der Argumentation der Freiliste, die prak- tisch nur aus sozialpolitischen Gründen konzipiert sei. Ich bin etwas enttäuscht über diese Antwort. Ich bin nach wie vor der Auffassung, das Steuerrecht sei eine Möglichkeit zur Schaffung marktkonformer Anreize. Wenn dem so ist, soll- ten Gründe der Systematik meines Erachtens vor überge- ordneten Ueberlegungen zurücktreten. Die Frage, ob eine Weitergabe von Steuerbefreiungen an Grossisten im Rah- men der Wust möglich ist, ist eine dogmatische Frage, die aber durchaus lösbar wäre. Im Bereich von Artikel 14 wäre es meiner Auffassung nach durchaus möglich, die Freiliste aus Umweltschutzgründen zu erweitern und damit meinem Anliegen entgegenzukommen. Ich gebe mich über den Aus- gang der Abstimmung keiner Illusion hin. Ich halte an mei- ner Motion fest. Abstimmung - Vote Für Ueberweisung der Motion Dagegen An den Nationalrat - Au Conseil national</w:t>
      </w:r>
    </w:p>
    <w:p>
      <w:r>
        <w:rPr>
          <w:b/>
        </w:rPr>
        <w:t>E. 13</w:t>
      </w:r>
    </w:p>
    <w:p>
      <w:r>
        <w:t>Stimmen 2 Stimmen</w:t>
      </w:r>
    </w:p>
    <w:p>
      <w:r>
        <w:t>Schweizerisches Bundesarchiv, Digitale Amtsdruckschriften Archives fédérales suisses, Publications officielles numérisées Archivio federale svizzero, Pubblicazioni ufficiali digitali Motion Schmid Abschaffung der Wust auf energiesparenden Investitionen Motion Schmid Economies d'énergie. Suppression de l'ICHA sur les investissements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07 Séance Seduta Geschäftsnummer 86.184 Numéro d'objet Numero dell'oggetto Datum 11.03.1987 - 09:30 Date Data Seite 96-97 Page Pagina Ref. No 20 015 375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