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86.153 vom 13. April 1984</w:t>
      </w:r>
    </w:p>
    <w:p>
      <w:r>
        <w:t>Bundesverwaltung, 1984-04-13, DE</w:t>
      </w:r>
    </w:p>
    <w:p>
      <w:r>
        <w:rPr>
          <w:b/>
        </w:rPr>
        <w:t xml:space="preserve">Quelle: </w:t>
      </w:r>
      <w:r>
        <w:t>https://mcp.opencaselaw.ch/entscheid/ch_vb_86.153</w:t>
      </w:r>
    </w:p>
    <w:p>
      <w:r>
        <w:t>FR: CH_VB 86.153 du 13 avril 1984</w:t>
      </w:r>
    </w:p>
    <w:p>
      <w:r>
        <w:t>IT: CH_VB 86.153 del 13 aprile 1984</w:t>
      </w:r>
    </w:p>
    <w:p>
      <w:pPr>
        <w:pStyle w:val="Heading2"/>
      </w:pPr>
      <w:r>
        <w:t>Erwägungen</w:t>
      </w:r>
    </w:p>
    <w:p>
      <w:r>
        <w:rPr>
          <w:b/>
        </w:rPr>
        <w:t>E. 19</w:t>
      </w:r>
    </w:p>
    <w:p>
      <w:r>
        <w:t>März 1987 N 439 Motion Wick lions utilisant l'énergie solaire, etc.) sont actuellement grevés de l'ICHA, alors que le'gaz, l'électricité et les combus- tibles ne le sont pas. Cela est contraire à l'encouragement d'investissements visant à économiser l'énergie en Suisse. Le Conseil fédéral est chargé d'élaborer une modification des dispositions relatives à l'ICHA de façon à ce que soient exonérés de cet impôt les investissements dont on peut prouver qu'ils servent à économiser l'énergie. Mitunterzeichner - Cosignataires: Euler, Grassi, Mari, Hess, Hunziker, Lanz, Müller-Aargau, Müller-Bachs, Müller-Schar- nachtal, Oester, Risi-Schwyz, Salvioni, Savary-Fribourg, Schmidhalter, Segmüller, Seiler, Spalti, Stamm Judith, Wyss (19) Schriftliche Begründung - Développement par écrit Lenkung des Verhaltens der Wirtschaftssubjekte mittels Steuern und Abgaben ist Wirtschaftspolitik erster Güte. In einer Zeit, in der Reaktorunfälle, Waldsterben usw. zu einem Ueberdenken unserer Energiepolitik führen und Energie- sparen einen grossen Stellenwert einnimmt, ist es doch widersinnig, dass der Staat mit seinen wirtschaftspoliti- schen Instrumenten nach wie vor falsche Signale setzt. Investitionen im Energiebereich, die einen geringeren Energieverbrauch zur Folge haben, werden mit der Wust belegt (z. B. Isolationsmaterial zur Häuserisolierung, Solar- energieanlagen usw.). Der Energieverbraucher aber ist nach Artikel 14 Absatz 1 Buchstabe bdesBundesratsbeschlusses über die Warenumsatzsteuer von der Wust ausgenommen. Diese Tatsache widerspricht dem Verursacherprinzip des Umweltschutzgesetzes. Es wäre dringend notwendig, dass in diesem Bereich die Weichenstellung in Richtung Energie- sparmassnahmen geändert wird. Die für energiesparende Investitionen eingesetzten Materialien sollten von der Wust befreit werden, die Energieträger jedoch, wie vom Bundes- rat vorgesehen, der Wust unterstellt werden. Schriftliche Stellungnahme des Bundesrates vom 2. März 1987 Rapport écrit du Conseil fédéral du 2 mars 1987 1. Nach den Bestimmungen des Warenumsatzsteuerrechts können selbst die als Grossisten steuerpflichtigen Unterneh- men Anlage- oder Investitionsgüter und Betriebsmittel nur mit der Warenumsatzsteuer belastet einführen oder bezie- hen. Zum Kreis solcherart belasteter Güter und Waren zäh- len Investitionen jeglicher Art, somit auch solche, die der Einsparung von Energie dienen. Schon in den 70er Jahren wurden Bestrebungen unternommen, um den der geltenden Grossisten-Warenumsatzsteuer anhaftenden Mangel der Investitionsbesteuerung zu beseitigen. Dieses Vorhaben, das im Rahmen der Umgestaltung der Grossisten-Warerium- satzsteuer in eine Umsatzsteuer mit Vorsteuerabzug (sog. Mehrwertsteuer) zu verwirklichen gesucht wurde, scheiterte indessen sowohl in der Volksabstimmung vom 12. Juni 1977 als auch im Urnengang vom 20. Mai 1979. Mit einer am 16. März 1981 vom Nationalrat und am 3. Juni 1981 vom Ständerat überwiesenen Motion wurde der Bun- desrat beauftragt, den eidgenössischen Räten eine Revision der Umsatzbesteuerung vorzulegen, womit die strukturellen Unebenheiten des geltenden Rechts bereinigt und die nach- teiligen Folgen für den Wettbewerb der schweizerischen Wirtschaft gemildert werden sollten. Die gestützt auf diese Motion vom Eidgenössischen Finanzdepartement einge- setzte Studienkommission erstattete am 19. Januar 1983 dem auftraggebenden Departement ihren Bericht zur Revi- sion der Umsatzbesteuerung. Entsprechend dem in der vor- hin erwähnten Motion zum Ausdruck gebrachten Anliegen bildete die Beseitigung der auch als taxe occulte bezeichne- ten Folge der Besteuerung von Investitionen und Betriebs- mitteln vordringliches Revisionsziel und Kernstück der von der Studienkommission vorgeschlagenen Massnahmen. Aufgrund der Ergebnisse des Vernehmlassungsverfahirens, das zum Schlussbericht der Studienkommission für die Revision der Umsatzbesteuerung vom 19. Januar 1983 durchgeführt worden war, musste der Bundesrat jedoch zum Schluss gelangen, dass die von der Studienkommis- sion vorgeschlagenen Revisionsmassnahmen insgesamt keine Gewähr dafür bieten könnten, den Ausgleich der durch die Eliminierung der taxe occulte bewirkten Steuer- ausfälle sicherzustellen. Dies bewog den Bundesrat in sei- ner Sitzung vom 3. Dezember 1984, das Geschäft an das Eidgenössische Finanzdepartement mit dem Auftrag zurückzuweisen, weitere Modelle für eine Reform der Warenumsatzsteuer zu prüfen. Verschiedene Motionen der eidgenössischen Räte verlan- gen, dass die Ausschaltung der taxe occulte wesentliches Ziel der Bestrebungen für eine Reform der schweizerischen Umsatzbesteuerung zu sein habe. Wird dieses Ziel erreicht, so lässt sich damit - jedenfalls in einem bestimmten Umfange - auch die Massnahme verwirklichen, welche in der vorliegenden Motion angeregt wird. Allerdings kann im Rahmen einer modernen Umsatzbesteuerung eine steuerli- che Freistellung von Investitionen und Betriebsmitteln nur so weit in Betracht kommen, als solche Güter von steuer- pflichtigen Unternehmen für die Ausführung von der Steuer unterliegenden Umsätzen verwendet werden. Eine weiter reichende Steuerbefreiung von Investitionen, also insbeson- dere von Anlagegütern, die an nicht der Steuerpflicht unter- stellte Unternehmen oder an Private geliefert werden, stände mit einer systemgerechten Ausgestaltung der Umsatzsteuer nicht in Einklang. Eine auf die steuerpflichti- gen Unternehmen beschränkte Steuerentlastung der Pro- duktionsmittel (Investitionen und Betriebsmittel) entspricht daher auch den ausländischen Umsatzsteuerordnungen, welche das Mehrwertsteuersystem kennen. Die Studien- kommission für die Revision der Umsatzbesteuerung hat in ihrem Schlussbericht vom 19. Januar 1983 ebenfalls eine solche Lösung vorgeschlagen; und an einer Steuerbefrei- ung der Investitionen und Betriebsmittel im erwähnten Umfange wird deshalb auch bei der Ausarbeitung weiterer Modelle für die Reform der Warenumsatzsteuer festzuhalten sein. 2. Die Warenkategorien Gas, Elektrizität und Brennstoffe bilden Bestandteil der in Artikel 14 Absatz 1 Buchstabe b des Warenumsatzsteuerbeschlusses enthaltenen Liste der genereH steuerbefreiten Waren. Auf dieser Freiliste figurie- ren vornehmlich Güter, die für den täglichen Bedarf uner- lässlich sind; deren Befreiung von der Steuer beruht daher vorab auf sozialpolitischen Erwägungen. Gewiss ist einzu- räumen, dass sich das Problem der steuerlichen Vorzugsbe- handlung dieser Energieträger in der heutigen Zeit, in der es noch viel mehr als früher gilt, mit der Energie sparsam umzugehen, etwas anders stellt. Der Bundesrat hat bereits im Jahre 1980 dem Parlament vorgeschlagen, die von der Steuer befreiten Umsätze der erwähnten Energieträger von der Freiliste zu streichen. Dieses Vorhaben scheiterte jedoch, weil beide Räte beschlossen, auf jene Vorlage des Bundesrates nicht einzutreten. Gescheitert ist aber auch die Heizölzollvorlage. Im Rahmen der Ausarbeitung eines neuen Energieartikels in der Bundesverfassung (Art. 24octies) steht zur Diskussion, ob der Bund die Kompetenz erhalten soll, eine Energieab- gabe zu erheben. Schriftliche Erklärung des Bundesrates Déclaration écrite du Conseil fédéral Der Bundesrat beantragt, die Motion in ein Postulat umzu- wandeln. Präsident: Der gleiche Text ist als Motion Schmid am 11. März vom Ständerat überwiesen worden. Dieses Geschäft wird vom Büro an eine Spezialkommission über- wiesen. Die Motion Wick wird gleichzeitig mit diesem Geschäft des Ständerates behandelt. Damit ist das Geschäft abgesetzt.</w:t>
      </w:r>
    </w:p>
    <w:p>
      <w:r>
        <w:t>Schweizerisches Bundesarchiv, Digitale Amtsdruckschriften Archives fédérales suisses, Publications officielles numérisées Archivio federale svizzero, Pubblicazioni ufficiali digitali Motion Wick Abschaffung der Wust auf energiesparenden Investitionen Motion Wick Economies d'énergie. Suppression de l'ICHA sur les investissements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15 Séance Seduta Geschäftsnummer 86.153 Numéro d'objet Numero dell'oggetto Datum 19.03.1987 - 08:00 Date Data Seite 438-439 Page Pagina Ref. No</w:t>
      </w:r>
    </w:p>
    <w:p>
      <w:r>
        <w:rPr>
          <w:b/>
        </w:rPr>
        <w:t>E. 20</w:t>
      </w:r>
    </w:p>
    <w:p>
      <w:r>
        <w:t>015 215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