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85.989 vom 19. März 1986</w:t>
      </w:r>
    </w:p>
    <w:p>
      <w:r>
        <w:t>Bundesverwaltung, 1986-03-19, DE</w:t>
      </w:r>
    </w:p>
    <w:p>
      <w:r>
        <w:rPr>
          <w:b/>
        </w:rPr>
        <w:t xml:space="preserve">Quelle: </w:t>
      </w:r>
      <w:r>
        <w:t>https://mcp.opencaselaw.ch/entscheid/ch_vb_85.989</w:t>
      </w:r>
    </w:p>
    <w:p>
      <w:r>
        <w:t>FR: CH_VB 85.989 du 19 mars 1986</w:t>
      </w:r>
    </w:p>
    <w:p>
      <w:r>
        <w:t>IT: CH_VB 85.989 del 19 marzo 1986</w:t>
      </w:r>
    </w:p>
    <w:p>
      <w:pPr>
        <w:pStyle w:val="Heading2"/>
      </w:pPr>
      <w:r>
        <w:t>Erwägungen</w:t>
      </w:r>
    </w:p>
    <w:p>
      <w:r>
        <w:rPr>
          <w:b/>
        </w:rPr>
        <w:t>E. 19</w:t>
      </w:r>
    </w:p>
    <w:p>
      <w:r>
        <w:t>mars 1986 Zu denken wäre an eine Form der Internierung in offenen Zentren unter Aufsicht des Bundes, etwa entsprechend dem Vorschlag des Kantons Jura in der seinerzeitigen Vernehm- lassung zum Asylgesetz. Dadurch würde den Betroffenen die Wahrung ihrer kulturellen Identität erleichtert und die fortdauernde Verankerung in ihrem Kulturkreis gefördert; die Assimilation in unserem Land dagegen würde abge- schwächt, ohne den notwendigen und wünschbaren Kon- takt mit der schweizerischen Bevölkerung ganz zu unterbin- den. Eine künftige Heimschaffung nach einer zu erhoffen- den Beruhigung der Lage im Herkunftsland würde somit nicht präjudiziert. Zumindest im Falle der Tamilen entspricht dies auch dem Wunsch der meisten Betroffenen, sobald als möglich wieder in ihre Heimat zurückzukehren. Diese anzustrebende Lösung hätte neben der Würde und der Kultur der Asylanten auch die Anliegen breiter Kreise der schweizerischen Bevölkerung zu berücksichtigen; so wäre namentlich darauf zu achten, dass die Asylanten beschäftigt werden könnten. Auf diese Weise fielen sie einerseits dem Staatssäckel nicht länger zur Last und andererseits stünden sie nicht weiter untätig auf öffentlichen Plätzen und Bahn- höfen herum, was allenthalben Anstoss erregt hat. Die Beschäftigung brächte zudem auch für die Asylanten unbe- streitbare psychische Vorteile und wäre das wohl tauglich- ste Mittel zur Prävention vereinzelt aufgetretener Kriminali- tät. Es wäre dabei durchaus denkbar, den Asylanten nur einen Teil des. erarbeiteten Lohnes für den laufenden Lebensunterhalt auszubezahlen und den Rest teilweise für die allgemein anfallenden Kosten der Internierung (eine Art Internierungssteuer) zu verwenden und andernteils auf ein Sperrkonto zur späteren Auszahlung als Rückkehrhilfe an- zulegen. Schriftliche Stellungnahme des Bundesrates vom 26. Februar 1986 Rapport écrit du Conseil fédéral du 26 février 1986 Im Bereich der Flüchtlings- und Asylfragen werden sich die Behörden auch weiterhin strikte an das Abkommen vom 28. Juli 1951 über die Rechtsstellung der Flüchtlinge und an das Asylgesetz halten, welche beide den Grundsatz des Non-refoulement enthalten. Auf diesen können sich Perso- nen beziehen, welche die Flüchtlingseigenschaft im Sinne von Artikel 3 Asylgesetz besitzen. In einem weiteren Sinn ist der Grundsatz aber auch in Artikel 3 der Europäischen Menschenrechtskonvention enthalten, der auf alle Personen Anwendung findet, unab- hängig davon, ob sie um Asyl nachgesucht haben oder nicht. Im Rahmen des Auslieferungsrechtes führte diese Bestimmung das Bundesgericht z. B. dazu, trotz bestehen- dem Auslieferungsvertrag Auslieferungen an Argentinien nicht zu bewilligen, als dort noch die Militärs an der Macht waren. Gleichzeitig muss die Schweiz auch Sorge dafür tragen, dass die Einrichtung des Asylrechtes um der eigentlichen Flüchtlinge willen bestehen bleibt und nicht ausgehöhlt wird. Es ist deswegen damit zu rechnen, dass unter voller Beachtung des Grundsatzes der Nichtrückschiebung in bestimmten Fällen Rückschaffungen auch weiterhin durch- geführt werden müssen. Solche Rückschaffungen werden nur nach umfangreichen Abklärungen beschlossen werden. Lieber das endgültige Los der von solchen Massnahmen betroffenen Personen vermag aber in keinem Fall vor der Rückschaffung Gewissheit in allen Punkten zu bestehen, da nie auf absolute Garantien abgestellt werden kann. Erweist sich der Vollzug der Wegweisung als unzumutbar, wird der Aufenthalt des Ausländers im Sinne einer Ersatz- massnahme gemäss den Bestimmungen über die Internie- rung geregelt. Die bestehende Regelung hat sich bewährt. Sie soll im Rahmen der Revisionen des Asylgesetzes und des Gesetzes über Aufenthalt und Niederlassung der Aus- länder auf Gesetzesstufe detailliert verankert werden. Nach wie vor kann dabei den besonderen Gegebenheiten der Anwesenheit des Ausländers Rechnung getragen werden. Ob sich freiheitsbeschränkende Massnahmen, wie sie bei- spielhaft für den Fall abgewiesener tamilischer Asylbewer- ber angeführt werden, unter dem Gesichtspunkt der Verhält- nismässigkeit verantworten lassen, kann nicht generell beantwortet werden. Immerhin wird eine Aufenthaltsgestal- tung in offenen Zentren unter dem Titel der vorläufigen Aufnahme durchaus möglich sein. Da der Bundesrat dem Parlament eine dem Postulat entsprechende gesetzliche Regelung vorschlägt, erweist sich dieses als unnötig. Schriftliche Erklärung des Bundesrates Déclaration écrite du Conseil fédéral Abschreibung Ott: Der Sinn meines Postulates ging in eine ähnliche Rich- tung wie der Antrag, den ich heute in der Debatte gestellt habe und der zur Prüfung entgegengenommen worden ist, nämlich eine Zwischenlösung für bestimmte Kategorien von Flüchtlingen zu schaffen, eine Zwischenlösung, welche die Situation für die Flüchtlinge erleichtert und für die Behör- den vereinfacht. Ich darf sagen, dass ich von der Antwort des Bundesrates, der erklärt, dass dies heute schon aufgrund des Gesetzes möglich sei, und wie er sich eine Realisierung im einzelnen vorstellt, befriedigt bin und in diesem Sinne der Abschrei- bung meines Postulates zustimme. Darf ich, Herr Präsident, da ich unmittelbar nach der Inter- pellation von Herrn Oehen das Wort habe, im Sinne einer persönlichen Erklärung noch folgendes feststellen: Ich kann dem Standpunkt, wie er von bundesrätlicher Seite bezüglich des sogenannten Kirchenasyls dargelegt wurde, selber zustimmen. Ich habe mich meinerseits diesbezüglich schon in der Presse geäussert und darauf hingewiesen, dass wir in einem demokratischen Rechtsstaat leben und mit demokra- tisch-rechtsstaatlichen Mitteln kämpfen müssen. Das ändert aber nichts an der moralischen und der glaubensmässigen Verpflichtung der Kirchen, für die Unterdrückten alles zu tun, was in diesem Rahmen möglich ist, und nötigenfalls auch sehr demonstrativ ihren Einsatz für die Verfolgten, für die Unterdrückten zu bezeugen. Präsident: Der Bundesrat beantragt Abschreibung des Postulates. Ein anderer Antrag ist nicht gestellt. Zustimmung - Adhésion #ST# 85.991 Motion Wick Abgewiesene Asylbewerber. Aufenthalt in der Schweiz Demandeurs d'asile. Statut provisoire Wortlaut der Motion vom 19. Dezember 1985 Humanitäre Gründe können in Ausnahmefällen (lange Ver- zögerung angesichts des Pendenzenberges) die Auswei- sung eines abgewiesenen Asylbewerbers verunmöglichen. Weder im Asylgesetz noch im Bundesgesetz über den Auf- enthalt und die Niederlassung der Ausländer (ANAG) ist aber der weitere Aufenthalt eines abgewiesenen Asylbewerbers in unserem Land befriedigend geregelt. Der Bundesrat wird deshalb im Sinne einer Uebergangsre- gelung ersucht, zusammen mit den Kantonen ein Konzept zu erarbeiten, das den Status eines abgewiesenen Asylbe- werbers, dem aus humanitären Gründen erlaubt wird, weiter in unserem Lande zu verbleiben, in befriedigender Weise regelt.</w:t>
      </w:r>
    </w:p>
    <w:p>
      <w:r>
        <w:t>Schweizerisches Bundesarchiv, Digitale Amtsdruckschriften Archives fédérales suisses, Publications officielles numérisées Archivio federale svizzero, Pubblicazioni ufficiali digitali Postulat Ott Flüchtlinge. Provisorischer Status Postulat Ott Réfugiés. Statut provisoire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14 Séance Seduta Geschäftsnummer 85.989 Numéro d'objet Numero dell'oggetto Datum 19.03.1986 - 15:00 Date Data Seite 353-354 Page Pagina Ref. No</w:t>
      </w:r>
    </w:p>
    <w:p>
      <w:r>
        <w:rPr>
          <w:b/>
        </w:rPr>
        <w:t>E. 20</w:t>
      </w:r>
    </w:p>
    <w:p>
      <w:r>
        <w:t>014 181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