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85.963 vom 13. März 1986</w:t>
      </w:r>
    </w:p>
    <w:p>
      <w:r>
        <w:t>Bundesverwaltung, 1986-03-13, DE</w:t>
      </w:r>
    </w:p>
    <w:p>
      <w:r>
        <w:rPr>
          <w:b/>
        </w:rPr>
        <w:t xml:space="preserve">Quelle: </w:t>
      </w:r>
      <w:r>
        <w:t>https://mcp.opencaselaw.ch/entscheid/ch_vb_85.963</w:t>
      </w:r>
    </w:p>
    <w:p>
      <w:r>
        <w:t>FR: CH_VB 85.963 du 13 mars 1986</w:t>
      </w:r>
    </w:p>
    <w:p>
      <w:r>
        <w:t>IT: CH_VB 85.963 del 13 marzo 1986</w:t>
      </w:r>
    </w:p>
    <w:p>
      <w:pPr>
        <w:pStyle w:val="Heading2"/>
      </w:pPr>
      <w:r>
        <w:t>Erwägungen</w:t>
      </w:r>
    </w:p>
    <w:p>
      <w:r>
        <w:rPr>
          <w:b/>
        </w:rPr>
        <w:t>E. 13</w:t>
      </w:r>
    </w:p>
    <w:p>
      <w:r>
        <w:t>mars 1986 schiedene Herren angeführt haben -, dass der Blick in die Vergangenheit oder eine Momentaufnahme nicht alles für die Zukunft aussagen, jedenfalls nicht für die weitere Zukunft. Wenn der Moment und die Vergangenheit auch rosig aussehen, ist das zweifellos noch keine Gewähr für eine rosige Zukunft, weder bei den Banken noch bei den Bundesfinanzen. An sich möchte ich hier lieber für die Situation der Banken als für diejenige der Bundesfinanzen zuständig sein. Dabei muss man aber trotz allem berücksichtigen, dass das, was hier begehrt wird, namhafte Steuerausfälle bringt. Ich weiss, man kann darüber diskutieren. Man sagt, wir würden nur statisch rechnen und nicht die Entwicklung sehen. Das mag stimmen. Auf der anderen Seite stellt sich aber die Frage, ob wir, wenn wir beispielsweise bei den Geldmarkt- papieren eine Entlastung herbeiführen, zu einem Geldmarkt kommen, so dass durch diese Reduktion Mehreinnahmen entstehen. Diese Frage ist für uns völlig offen; denn die Tatsache, dass man eine fiskalpolitische Möglichkeit herbei- führt, einen Geldmarkt zu schaffen, bedeutet noch lange nicht, dass in der Schweiz nachher tatsächlich ein grosser und funktionierender Geldmarkt besteht und bestehen wird. Das ist auch eine Frage des Bedürfnisses. Es ist möglich, aber es ist nicht ganz sicher. Deshalb würde ich selber den Zwischenton sehr begrüssen, den Herr Bürgi gefunden hat, als er sagte, es wäre auch möglich, gestaffelt vorzugehen. So hätten wir eine gewisse Möglichkeit, Prioritäten zu setzen, ohne gerade alles gleich- zeitig vorzulegen und dann Risiken einzugehen, die weder wir noch Sie im Grunde genommen abschätzen können. Wenn man das aber will, sollten wir-scheint mir-nicht die verpflichtende Motion haben, sondern ein Postulat. Der Bundesrat ist ja durchaus bereit, in verschiedenen Berei- chen, die Sie angeführt haben, die Diskussion mit den Banken zu führen um festzustellen, wo ihre Prioritäten lie- gen. Er ist auch bereit, etwas zu tun, wenn er sieht, dass es dem Kosten-Nutzen-Wert bei den Banken tatsächlich etwas bringt, aber auch für den Bund nicht unmöglich ist. Sie sind sicher mit mir einverstanden, dass wir im heutigen Zeitpunkt nicht sagen können, wir würden die Banken entlasten, und später entlasten wir auch die übrigen Unternehmer bei der taxe occulte und überwälzen das alles auf den Konsumen- ten. Das wäre nicht denkbar. Wir müssen einen Ausgleich innerhalb der Banken finden, ob durch mehr Umsatz oder eine andere Abgabe, kann uns letztlich egal sein. Hier bei der Motion Bürgi würde man zu einer Lösung kommen, wenn Sie sie als Postulat überweisen würden: Der Bundesrat ist auch bereit, den Vorstoss in dieser Form entgegenzunehmen. Dann hätten wir wohl eine gute Vor- aussetzung, auch für die Diskussion mit den Banken. Bei einer Ueberweisung als Motion - besonders wenn sie noch von beiden Räten akzeptiert wird - wäre die Voraussetzung unseres Erachtens schlechter: Wir würden unter einem Druck des Parlamentes stehen; die Banken könnten anneh- men, sie hätten im Parlament eine Mehrheit, was noch nicht heisst, dass es bei der Volksabstimmung auch eine Mehrheit gibt! Das sind referendumspflichtige Beschlüsse, die hier gefasst werden müssen. Deshalb muss man sie auch mit aller Sorgfalt betrachten. Noch ein Wort zur Motion von Herrn Feigenwinter bzw. jetzt des Nationalrates. Ich möchte dem Herrn Kommissionsprä- sidenten für seine Darlegungen danken. Der Bundesrat ist auch in diesem Fall der Meinung, dass nur ein Postulat zu überweisen ist: Die Motion Feigenwinter behandelt zum Teil ähnliche Gebiete wie die Motion Bürgi, geht aber noch einen grossen Schritt darüber hinaus in ein Gebiet, das den Finanzplatz nicht direkt betrifft. Ich spreche die Emissions- abgabe auf Aktien an. Das betrifft an sich den Finanzplatz weniger. Dabei handelt es sich um eine Frage der Entla- stung der Aktiengesellschaften. Der Zeitpunkt ist schlecht gewählt, um dem Bundesrat eine solche Motion - als ver- bindlichen Auftrag-zu übergeben, da wir nächste Woche in Ihrem Rat das Gesetz über die direkte Bundessteuer und das Harmonisierungsgesetz behandeln. Insbesondere beim Gesetz über die direkte Bundessteuer möchte die Kommis- sionsmehrheit beim heutigen System des Dreistufentarifes bleiben. Wenn Sie wirklich neue Unternehmen fördern wol- len, stimmen Sie dort dem Bundesrat zu und wählen die proportionale Besteuerung. Das ist eine mutige Tat zur Förderung junger und kleiner Unternehmungen. Denn wenn Sie beim heutigen System bleiben und darauf noch 10 Pro- zent Rabatt gewähren, unterstützen Sie die Unternehmen, die etabliert sind, die grosse stille und offene Reserven, also im Verhältnis zum Reingewinn ein grosses Eigenkapital, haben. Beim Gesetz über die direkte Bundessteuer können Sie etwas für die Unternehmen tun, aber bitte nicht hier auf diese Art! Diese Art Förderung ist vom Schweizervolk bei der Innovationsrisikogarantie bereits abgelehnt worden. Ich bitte Sie also, die beiden Motionen als Postulate zu überweisen. Präsident: Wir kommen zur Bereinigung der Motion Bürgi. Der Bundesrat ist bereit, die Motion in Form eines Postula- tes entgegenzunehmen. Ich frage Herrn Bürgi an, ob er an der Motion festhält oder mit einer Umwandlung einverstan- den ist. Bürgi: Ich halte an der Motion fest. Abstimmung - Vote Für die Ueberweisung als Motion Für die Ueberweisung als Postulat 22 Stimmen 10 Stimmen Präsident: Wir kommen zur Bereinigung der Motion des Nationalrates: Stempelsteuergesetz. Aenderung. Hier bean- tragen uns Bundesrat und Kommissionsmehrheit Ueberwei- sung als Postulat. Ein Antrag von Herrn Reichmuth geht dahin, dass dieser Vorstoss ebenfalls als Motion überwiesen werden sollte. Wir stimmen vorerst über den Antrag der Kommissions- mehrheit und des Bundesrates ab. Wer den Vorstoss des Nationalrates in Form eines Postulates überweisen möchte, ist gebeten, das mit Handerheben zu bezeugen. Abstimmung - Vote Für die Ueberweisung als Motion</w:t>
      </w:r>
    </w:p>
    <w:p>
      <w:r>
        <w:rPr>
          <w:b/>
        </w:rPr>
        <w:t>E. 18</w:t>
      </w:r>
    </w:p>
    <w:p>
      <w:r>
        <w:t>Stimmen Für die Ueberweisung als Postulat 12 Stimmen #ST# 85.963 Motion Bührer Motorfahrzeuge. Einfuhrzölle Véhicules à moteur. Droits d'entrée Wortlaut der Motion vom 17. Dezember 1985 Im Hinblick auf die Luftverschmutzung ist es wichtig, dass möglichst rasch ältere Autos durch solche ersetzt werden, die die US-83-Norm erfüllen. Der Bundesrat wird eingeladen, eine Aenderung des Gene- ralzolltarifs vorzulegen, mit welcher vorübergehend (bis zur obligatorischen Einführung der US-83-Normen) der Einfuhr- zoll auf Fahrzeugen, die nachweisbar die US-83-Normen erfüllen, aufgehoben wird. Der Einnahmenausfall soll mittels Treibstoffzollgeldern kompensiert werden. Texte de la motion du 17 décembre 1985 Eu égard à la pollution atmosphérique, il importe que les vieilles voitures soient remplacées le plus rapidement possi- ble par des nouvelles qui répondent aux normes améri- caines 83.</w:t>
      </w:r>
    </w:p>
    <w:p>
      <w:r>
        <w:t>13. März 1986 103 Motion Bührer Le Conseil fédéral est chargé de présenter un projet de modification du tarif douanier suisse, visant à supprimer temporairement (jusqu'à ce que les normes US 83 soient rendues obligatoires) les droits d'entrée sur les véhicules à moteur pour lesquels la preuve a été fournie qu'ils sont conformes aux normes US 83. La diminution des recettes sera compensée par un prélève- ment sur le produit des droits d'entrée sur les carburants. Mitunterzeichner - Cosignataires: Belser, Meylan, Miville, Piller, Weber (5) Frau Bührer: Als ich meine Motion für einen befristeten Verzicht auf die Einfuhrzölle der Katalysatorfahrzeuge im letzten Dezember einreichte, dachte ich natürlich nicht daran, dass sie ausgerechnet während des Automobil- Salons in Genf behandelt würde. Ohne mein Zutun lieferten die Medien nun den passenden Rahmen. Das Auto und mit ihm der Katalysator machen gegenwärtig Schlagzeilen: Zum Beispiel «Die Katys sind da», «Klarer Trend zum Katalysa- tor», «Grosse Schau der Kat-Modelle» usw. Wenn man das hört, könnte man glauben, meine Motion sei gänzlich über- flüssig. Dem ist aber nicht so. Einige Zahlen belegen dies: Im Jahre 1985 hat jeder dreizehnte Käufereines Neuwagens ein mit Katalysator ausgerüstetes Auto gekauft. Das waren rund</w:t>
      </w:r>
    </w:p>
    <w:p>
      <w:r>
        <w:rPr>
          <w:b/>
        </w:rPr>
        <w:t>E. 20</w:t>
      </w:r>
    </w:p>
    <w:p>
      <w:r>
        <w:t>014 316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