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85.554 vom 20. Dezember 1985</w:t>
      </w:r>
    </w:p>
    <w:p>
      <w:r>
        <w:t>Bundesverwaltung, 1985-12-20, DE</w:t>
      </w:r>
    </w:p>
    <w:p>
      <w:r>
        <w:rPr>
          <w:b/>
        </w:rPr>
        <w:t xml:space="preserve">Quelle: </w:t>
      </w:r>
      <w:r>
        <w:t>https://mcp.opencaselaw.ch/entscheid/ch_vb_85.554</w:t>
      </w:r>
    </w:p>
    <w:p>
      <w:r>
        <w:t>FR: CH_VB 85.554 du 20 décembre 1985</w:t>
      </w:r>
    </w:p>
    <w:p>
      <w:r>
        <w:t>IT: CH_VB 85.554 del 20 dicembre 1985</w:t>
      </w:r>
    </w:p>
    <w:p>
      <w:pPr>
        <w:pStyle w:val="Heading2"/>
      </w:pPr>
      <w:r>
        <w:t>Volltext</w:t>
      </w:r>
    </w:p>
    <w:p>
      <w:r>
        <w:t>Postulat Braunschweig 2242 N 20 décembre 1985 eine rationelle Elektrizitätsverwendung (Elektrizitätswirt- schaftsgesetz)» vom Mai 1985 enthält einen Ueberblicküber die möglichen Massnahmen im Elektrizitätsbereich und ihre Realisierung sowie die wichtigsten Argumente, welche für und gegen ein Elektrizitätswirtschaftsgesetz sprechen. Der Bundesrat hat am 3. Juli 1985 von diesem Bericht Kenntnis genommen und das EVED beauftragt, einen Antrag über das weitere Vorgehen vorzubereiten. Diese Arbeiten sind im Gang. Der Bundesrat wird auf Grund aller Unterlagen und Gesichtspunkte entscheiden, ob eine Vorlage für ein Elektrizitätswirtschaftsgesetz zuhanden der eidgenössischen Räte ausgearbeitet werden soll. Dem Nationalrat wurden bereits früher Motionen im Sinne des vorliegenden Vorstosses unterbreitet. Die Motionen Petitpierre (10.3.80; Gesetz über Stromlieferung) und Wick (5.3.84; Elektrizitätsanwendung und Wärme-Kraft-Kopp- lung) wurden am 22. September 1980 bzw. am 19. Septem- ber 1985 als Postulate überwiesen. Der Bundesrat ist bereit, auch den vorliegenden Vorstoss als Prüfungsauftrag entgegenzunehmen. Schriftliche Erklärung des Bundesrates Déclaration écrite du Conseil fédéral Der Bundesrat beantragt, die Motion in ein Postulat umzu- wandeln. Ueberwiesen als Postulat - Transmis comme postulat Präsident: Die Motion der freisinnig-demokratischen Frak- tion betreffend Gewährleistung der Regierungstätigkeit wird heute nicht behandelt, weil der Vorstoss im Ständerat als Motion überwiesen worden ist. Damit geht er automatisch an eine Kommission des Nationalrates. Die übrigen persönlichen Vorstösse sind gemäss Antrag des Bundesrates angenommen. #ST# 85.554 Postulat Lanz Berufliche Vorsorge. Erhöhtes Invaliditätsrisiko Prévoyance professionnelle. Risque accru d'invalidité Wortlaut des Postulates vom 18. September 1985 Der Bundesrat wird gebeten, einen Revisionsentwurf zum Bundesgesetz über die berufliche Vorsorge (BVG) vorzule- gen, der - Artikel 56 Buchstabe a dahingehend ändert, dass der Sicherheitsfonds Zuschüsse an Vorsorgeeinrichtungen mit ungünstiger Risikostruktur bezüglich Alter und Invalidität (statt wie heute mit ungünstiger Altersstruktur allein) aus- richtet; - Analog Artikel 58 BVG, der die ungünstige Altersstruktur erläutert, müsste neu ein Artikel 58bis formuliert werden, der die Zuschüsse bei erhöhtem Invaliditätsrisiko festlegt. Texte du postulat du 18 septembre 1985 Le Conseil fédéral est prié de présenter un projet de révision de la loi fédérale sur la prévoyance professionnelle, vieil- lesse, survivants et invalidité, qui: -modifie l'article 56,1er alinéa, lettre a, de telle sorte que le fonds de garantie verse des subsides aux institutions de prévoyance dont la structure des risques de vieillesse et d'invalidité est défavorable, comme c'est le cas à l'heure actuelle; - par analogie avec l'article 58 LPP, qui concerne les sub- sides pour structure d'âge défavorable, prévoie un nouvel article 58bis prescrivant le versement de subsides en cas de risque accru d'invalidité. Mitunterzeichner - Cosignataires: Ammann-St. Gallen, Bäumlin, Bircher, Blunschy, Borei, Bratschi, Braunschweig, Bundi, Chopard, Christinat, Clivaz, Deneys, Dirren, Dünki, Eggenberg-Thun, Eggli-Winterthur, Euler, Fankhauser, Fehr, Fischer-Sursee, Frei-Romanshorn, Friedli, Gloor, Grendelmeier, Günter, Mari, Hubacher, Iten, Jaeger, Jaggi, Jung, Keller, Kühne, Leuenberger-Solothurn, Leuenberger Moritz, Longet, Maeder-Appenzell, Mauch, Meizoz, Meyer- Bern, Morf, Müller-Scharnachtal, Nauer, Neukomm, Oester, Ott, Pitteloud, Reimann, Renschier, Robbiani, Robert, Roh- rer, Rubi, Ruch-Zuchwil, Ruffy, Schärli, Schmidhaltor, Schnider-Luzern, Segmüller, Seiler, Stamm Judith, Stamm Walter, Stappung, Uchtenhagen, Vannay, Wagner, Weber Monika, Weber-Arbon, Wick, Zehnder, Ziegler, Zwygart (72) Schriftliche Begründung - Développement par écrit Während der Sicherheitsfonds des BVG unter bestimmten Voraussetzungen Beiträge an Pensionskassen mit ungünsti- ger Altersstruktur leistet und damit etwas zur Entlastung bei den hohen Sozialabgaben für ältere Arbeitnehmer tut, ist zur Abdeckung des erhöhten Invaliditätsrisikos der behinderten Arbeitnehmer noch nichts vorgesehen. Eine Gesetzesände- rung in dieser Richtung ist jedoch im Interesse der Behin- derten angezeigt. Es sollen dabei die Pensionskassen jener Arbeitgeber berücksichtigt werden, welche behinderte Arbeitnehmer anstellen - seien es Geburts- oder Frühbehin- derte oder solche Menschen, die reaktiviert sind und unter Umständen noch eine Teilrente der EIV und eventuell einer Pensionskasse beziehen. Die Zuschüsse wären so zu bemessen, dass sie das erhöhte Invaliditätsrisiko abdecken, indem Arbeitgeber und Versicherte die gleiche Risikoprämie zu bezahlen haben, wie wenn es sich dabei nicht um Behin- derte handeln würde. Um die administrativen Umtriebe mög- lichst gering zu halten, sollte der Sicherheitsfonds erst im Schadenfall eingeschaltet werden; d. h. die Pensionskasse müsste im Schadenfall dem Sicherheitsfonds das erhöhte Risiko melden, diesem dann den zu errechnenden Renten- wert samt Zins vergüten, während dann der Fonds anstelle der Kasse die Invaliditätsleistungen an den betroffenen erwerbsunfähigen Behinderten erbrächte. Ein Missbrauch wäre bei diesem Vorgehen nicht zu befürchten, da der Invaliditätsbegriff des BVG an jenen der EIV gekoppelt ist. Zur Finanzierung dieser neuen Aufgabe des Sicherheits- fonds könnte vorgesehen werden: - der bei der Pensionskasse errechnete Rentenwert der erwerbsunfähig gewordenen Behinderten; - die Prämien aller Vorsorgeeinrichtungen an den Sicher- heitsfonds, analog Art. 59 BVG. Schriftliche Erklärung des Bundesrates vom 9. Dezember 1985 Déclaration écrite du Conseil fédéral du 9 décembre 1985 Der Bundesrat ist bereit, das Postulat entgegenzunehmen. Ueberwiesen - Transmis #ST# 85.342 Postulat Braunschweig Umweltschutz und Aussenpolitik Protection de l'environnement et politique étrangère Wortlaut des Postulates vom 8. Februar 1985 Der Bundesrat wird um einen umfassenden, rückblickenden und zukunftsgerichteten Bericht über alle Aspekte des</w:t>
      </w:r>
    </w:p>
    <w:p>
      <w:r>
        <w:t>Schweizerisches Bundesarchiv, Digitale Amtsdruckschriften Archives fédérales suisses, Publications officielles numérisées Archivio federale svizzero, Pubblicazioni ufficiali digitali Postulat Lanz Berufliche Vorsorge. Erhöhtes Invaliditätsrisiko Postulat Lanz Prévoyance professionnelle. Risque accru d'invalidité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85.554 Numéro d'objet Numero dell'oggetto Datum 20.12.1985 - 08:00 Date Data Seite 2242-2242 Page Pagina Ref. No 20 013 970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