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85.543 vom 20. Dezember 1985</w:t>
      </w:r>
    </w:p>
    <w:p>
      <w:r>
        <w:t>Bundesverwaltung, 1985-12-20, DE</w:t>
      </w:r>
    </w:p>
    <w:p>
      <w:r>
        <w:rPr>
          <w:b/>
        </w:rPr>
        <w:t xml:space="preserve">Quelle: </w:t>
      </w:r>
      <w:r>
        <w:t>https://mcp.opencaselaw.ch/entscheid/ch_vb_85.543</w:t>
      </w:r>
    </w:p>
    <w:p>
      <w:r>
        <w:t>FR: CH_VB 85.543 du 20 décembre 1985</w:t>
      </w:r>
    </w:p>
    <w:p>
      <w:r>
        <w:t>IT: CH_VB 85.543 del 20 dicembre 1985</w:t>
      </w:r>
    </w:p>
    <w:p>
      <w:pPr>
        <w:pStyle w:val="Heading2"/>
      </w:pPr>
      <w:r>
        <w:t>Erwägungen</w:t>
      </w:r>
    </w:p>
    <w:p>
      <w:r>
        <w:rPr>
          <w:b/>
        </w:rPr>
        <w:t>E. 20</w:t>
      </w:r>
    </w:p>
    <w:p>
      <w:r>
        <w:t>décembre 1985 incident - soient passibles d'une peine; en effet, même lorsqu'un automobiliste n'a jamais commis d'infraction grave aux règles de la circulation, on n'en tient guère compte dans notre système juridique. Ces derniers temps, les cas de ce genre se font si nombreux qu'il s'impose de prendre des mesures pour y remédier. Le Conseil fédéral est par conséquent chargé: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