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85.515 vom 4. Oktober 1985</w:t>
      </w:r>
    </w:p>
    <w:p>
      <w:r>
        <w:t>Bundesverwaltung, 1985-10-04, DE</w:t>
      </w:r>
    </w:p>
    <w:p>
      <w:r>
        <w:rPr>
          <w:b/>
        </w:rPr>
        <w:t xml:space="preserve">Quelle: </w:t>
      </w:r>
      <w:r>
        <w:t>https://mcp.opencaselaw.ch/entscheid/ch_vb_85.515</w:t>
      </w:r>
    </w:p>
    <w:p>
      <w:r>
        <w:t>FR: CH_VB 85.515 du 4 octobre 1985</w:t>
      </w:r>
    </w:p>
    <w:p>
      <w:r>
        <w:t>IT: CH_VB 85.515 del 4 ottobre 1985</w:t>
      </w:r>
    </w:p>
    <w:p>
      <w:pPr>
        <w:pStyle w:val="Heading2"/>
      </w:pPr>
      <w:r>
        <w:t>Erwägungen</w:t>
      </w:r>
    </w:p>
    <w:p>
      <w:r>
        <w:rPr>
          <w:b/>
        </w:rPr>
        <w:t>E. 4</w:t>
      </w:r>
    </w:p>
    <w:p>
      <w:r>
        <w:t>Die Erhaltung der Kulturlandschaft;</w:t>
      </w:r>
    </w:p>
    <w:p>
      <w:r>
        <w:rPr>
          <w:b/>
        </w:rPr>
        <w:t>E. 5</w:t>
      </w:r>
    </w:p>
    <w:p>
      <w:r>
        <w:t>L'élaboration d'un plan directeur fondé sur les études énumérées plus haut et l'engagement des crédits néces- saires par accroissement des subsides actuels ou par une meilleure répartition des ressources existantes entre les diverses parties du pays, de manière à réaliser dans les plus brefs délais les améliorations structurelles nécessaires selon les principes évoqués dans la présente motion. Mitunterzeichner — Cosignataires Aliesch, Bühler-Tschap- pina, Bundi, Butty, Cantieni, de Chastonay, Columberg, Cotti Flavio, Darbellay, Dirren, Dupont, Flubacher, Geiss- bühler, Grassi, Mari, Humbel, Iten, Kühne, Martin, Müller- Scharnachtal, Nef, Oester, Revaclier, Rubi, Ruckstuhl, Savary-Waadt, Schärli, Schnider-Luzern, Steinegger, Van- nay, Ziegler. (31) Schriftliche Begründung - Développement par écrit Der 6. Landwirtschaftsbericht des Bundesrates betont die Bedeutung der Grundlagenverbesserungen im allgemeinen und der Strukturverbesserungen im besonderen. Obwohl sein hoher Stellenwert in der Agrarpolitik unbestritten ist, wurde und wird offenbar das Meliorationswesen hinsichtlich der zur Verfügung gestellten Mittel als Stiefkind behandelt. Im Rahmen der Bestrebungen zur Sanierung des Bundes- haushaltes ist offenbar im Investitionsbereich gespart wor- den, weil der grossie Teil der Ausgaben der Agrarpolitk gesetzlich festgelegt ist. Einsparungen im Investitionsbe- reich sind kurzfristig wohl am einfachsten durchführbar, sie werden sich aber längerfristig sicher negativ auswirken. Die Notwendigkeit und die Förderungswürdigkeit der land- wirtschaftlichen Strukturverbesserungen sind allgemein anerkannt. Meines Erachtens wichtige Zusammenhänge dürfen aber trotzdem in Erinnerung gerufen werden. Je nach Stand der durchgeführten Meliorationen weisen insbesondere im Berggebiet die Gemeinden eine recht unterschiedliche Produktionsstruktur auf. Bei fehlenden oder ungenügenden Strukturverbesserungen entstehen hohe Produktionskosten, die über Preisanpassungen und Direktzahlungen gegenüber meliorierten Gemeinden und Betrieben nicht ausgeglichen werden können. Ein Aus- gleich lässt sich nur erzielen, wenn in etwa die gleichen technischen Voraussetzungen geschaffen werden können. Die Mechanisierung in der Landwirtschaft hat gerade im Berggebiet zu bedeutenden Arbeitserleichterungen geführt. Mit fehlenden oder ungenügenden Strukturverbesserungen ist aber der Maschineneinsatz nur beschränkt möglich. Wegen des hohen Verschleisses sind die Betriebs- und Unterhaltskosten so hoch, dass sie etwa die Arbeitserleich- terungen aufwiegen. Im Berggebiet, insbesondere aber im Kanton Wallis, ist die Landwirtschaftstruktur geprägt vom Übergewicht der Nebenerwerbsbetriebe. Die landwirtschaftliche Tätigkeit allein genügt nicht, um eine Familie ernähren zu können. Nebenerwerbsbetriebe sind insbesondere angewiesen auf einen rationellen Einsatz der Produktionsfaktoren. Nur mit gezielter Förderung des Meliorationswesens kann in weiten Gebieten unseres Kantons und des Bergebietes die land- wirtschaftliche Bewirtschaftung gewährleistet werden. Nur wenn die Bewirtschaftung aufrechterhalten bleibt, kann das Postulat der Lebensmittelversorgung in Zeiten gestörter Zufuhr erfüllt werden. Vergandete Flächen erreichen bald einmal einen irreversiblen Zustand, oder ihre Rekultivierung ist mit unverhältnismässig hohen Kosten verbunden. Die</w:t>
      </w:r>
    </w:p>
    <w:p>
      <w:r>
        <w:t>Schweizerisches Bundesarchiv, Digitale Amtsdruckschriften Archives fédérales suisses, Publications officielles numérisées Archivio federale svizzero, Pubblicazioni ufficiali digitali Motion Leuenberger-Solothurn Revision Bankengesetz. Kapitalexport Motion Leuenberger-Solothurn Révision de la loi sur les banques. Exportation de capitaux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18 Séance Seduta Geschäftsnummer 85.515 Numéro d'objet Numero dell'oggetto Datum 04.10.1985 - 08:00 Date Data Seite 1819-1821 Page Pagina Ref. No 20 013 768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