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85.495 vom 17. September 1985</w:t>
      </w:r>
    </w:p>
    <w:p>
      <w:r>
        <w:t>Bundesverwaltung, 1985-09-17, DE</w:t>
      </w:r>
    </w:p>
    <w:p>
      <w:r>
        <w:rPr>
          <w:b/>
        </w:rPr>
        <w:t xml:space="preserve">Quelle: </w:t>
      </w:r>
      <w:r>
        <w:t>https://mcp.opencaselaw.ch/entscheid/ch_vb_85.495</w:t>
      </w:r>
    </w:p>
    <w:p>
      <w:r>
        <w:t>FR: CH_VB 85.495 du 17 septembre 1985</w:t>
      </w:r>
    </w:p>
    <w:p>
      <w:r>
        <w:t>IT: CH_VB 85.495 del 17 settembre 1985</w:t>
      </w:r>
    </w:p>
    <w:p>
      <w:pPr>
        <w:pStyle w:val="Heading2"/>
      </w:pPr>
      <w:r>
        <w:t>Erwägungen</w:t>
      </w:r>
    </w:p>
    <w:p>
      <w:r>
        <w:rPr>
          <w:b/>
        </w:rPr>
        <w:t>E. 17</w:t>
      </w:r>
    </w:p>
    <w:p>
      <w:r>
        <w:t>septembre 1985 Aber als Postulat sollte die Regierung es wirklich entgegen- nehmen. Ich kann Herrn Bundesrat Stich mitgeben, dass seine österreichischen Kollegen in der Regierung - Öster- reich ist ja auch ein Touristenland - den Vorstoss als unver- bindliches Postulat entgegengenommen haben. Zumindest zu so viel sollten wir uns heute aufraffen. Bundesrat Stich: Wenn ich mich recht erinnere an die Wald- debatte, haben Sie dort vom Bundesrat verlangt, dass er Ihnen einen Bericht bis Ende dieses Jahres erstattet, in dem aufgezeigt werden soll, wie man auf die Schadstoffbela- stung von 1950 zurückkommen kann. Sie werden es mir nicht übelnehmen, wenn ich Sie bitte, auf den Bericht zu warten. Der Bundesrat wird Ihnen dannzumal sicher auch die entsprechenden Massnahmen vorschlagen. Die beiden nun vorgeschlagenen Massnahmen sind leider nicht zu erfüllen. Sie müssen sich da nicht allein auf die Antwort des Bundesrates abstützen, sondern ich bitte Sie, die Vorstösse genau zu lesen. Bei Herrn Rebeaud heisst es: «Der Bundesrat wird gebeten, bis spätestens zur Sommer- session 1985 einen Bericht vorzulegen.» Dieser Zug ist abgefahren. Die Sommersession ist vorbei. Dann sollten wir die Möglichkeit beurteilen, durch die Preispolitik den Treib- stoffverbrauch in vier Jahren um die Hälfte zu senken. Da müssten wir doch wahrscheinlich die einzelnen Automobili- sten anfragen, wie sie sich gegenüber einem Preiszuschlag von 50 Rappen, von 1 Franken, von 2 Franken, von 3 Fran- ken verhalten, damit wir wüssten, was wir zu tun hätten. Es ist nicht möglich, eine solche Aussage zu machen. Wir kennen im Finanzdepartement das Verhalten des einzelnen Automobilisten nicht, und wir kennen insbesondere auch nicht die Preiselastizität. Das ist auch der Grund, weshalb wir Ihnen empfehlen, das Postulat abzulehnen, denn Sie verlangen ja vom Bundesrat und von der Verwaltung mit Recht, dass man effizient arbeitet. Aber effizient arbeiten heisst auch, dass man Prioritäten setzt und nicht Dinge tut, bei denen zum vornherein nichts herausschauen kann, weil keine schlüssige Antwort möglich ist, auch wenn wir uns zwei oder drei Monate damit beschäftigen. Wenn wir auch Experten einsetzen, eine schlüssige Antwort auf Ihre Fra- gen, Herr Rebeaud, könnten wir Ihnen trotzdem nicht geben. Deshalb lehnen wir das Postulat ab. Die Motion Jaeger lehnen wir ebenfalls ab. Wir betrachten eine solche Massnahme nicht als eine Art der Steuerung durch marktwirtschaftliche Mittel. Wenn sie das wäre, dann wären wir ohne weiteres mit einer Prüfung einverstanden. Ich wäre sogar einverstanden gewesen, das Postulat entge- genzunehmen, wenn wir nicht am Schluss noch das Geld verteilen müssten. Ich habe soeben eine Interpellation in bezug auf die Vignette beantwortet. Der Herr Interpellant ist zwar nicht mehr hier, aber er hat sich aufgeregt, weil das so kompliziert sei. Aber das ist noch sehr einfach im Verhältnis zu dem, was Sie wünschen in bezug auf Öko-Bonus, den wir ja auch noch gerecht zurückerstatten müssten. Man muss sich auch vorstellen, was in Grenzgebieten passieren würde, wenn wir einen solchen Zuschlag haben. Dann würden vermutlich die Schweizer nicht mehr in der Schweiz tanken, sondern im nahen Ausland. Nach unserer Rechnung, wenn Sie also nur diesen einen Franken erheben, werden wir allein durch die Verlagerung des Tankens ins Ausland 1,4 Milliarden Franken weniger an Treibstoffzöllen und Zqllzu- schlägen einnehmen als bisher. Sie können sagen, das spiele an sich keine Rolle, für den Bund mache das höch- stens 300 Millionen Franken aus, das wäre nicht so tragisch, und es würden einfach weniger Strassen gebaut. Aber die Strassen werden eben vermutlich nachher doch gebaut werden müssen. Sie werden vielleicht nicht neue bauen, aber Sie werden alte unterhalten und erneuern müssen, und dafür braucht es zweifellos auch Geld. Diese Motion kann man unseres Erachtens in dieser Form nicht annehmen. Man kann sie auch nicht als Postulat annehmen, denn, was Sie hier von uns verlangen, ist die Einführung einer neuen und grossen Bürokratie, und das möchten wir nicht; davon haben wir genug. Postulat Rebeaud Abstimmung - Vote Für Überweisung des Postulates 34 Stimmen Dagegen 74 Stimmen Motion Jaeger Präsident: Herr Jaeger ist einverstanden mit der Überwei- sung seiner Motion als Postulat gemäss Antrag Maeder. Der Bundesrat lehnt auch das Postulat ab. Abstimmung - Vote Für Überweisung des Postulats Dagegen 31 Stimmen 67 Stimmen #ST# 84.400 Motion Früh Wahrung der Schweizer Souveränität Sauvegarde de la souveraineté helvétique Wortlaut der Motion vom 23. März 1984 In Sorge um die Würde, die Unabhängigkeit und den Wohl- stand der Schweiz, ihrer Institutionen und Einwohner sowie um das Vertrauen ihrer Freunde und Auftraggeber in aller Welt, zum Zwecke der unverzüglichen Beendigung der anhalten- den Missachtung und Verletzung der Souveränität und des Rechts der Schweiz durch fremde Instanzen, und mit dem Ziel, den mit dem schweizerischen Recht traditio- nell verbundenen Schutz gegen jedwelche Übergriffe aus- ländischer Behörden wiederherzustellen, aufrechtzuerhal- ten und durchzusetzen sowie zu erreichen, dass Informatio- nen und Güter, welche unter Verletzung von Schweizer Recht erfasst worden sind, von allen ausländischen Bestim- mungen ausgenommen, und die Betroffenen voll entschä- digt werden, ist der Bundesrat eingeladen, alle geeigneten Massnahmen, inklusive Retorsionsmassnahmen, zu ergreifen, um alles zu unterlassen, was diesen Zielen abträglich sein könnte, wobei sich besonders folgende Schritte aufdrängen: 1. Es sind die Verhandlungen über allfällige Änderungen des schweizerisch-französischen Abkommens zur Vermei- dung der Doppelbesteuerung vom 9. September 1966 sowie geeignete Konzessionen solange zu suspendieren, als die französischen Behörden und auch ihre Zoll- und Fiskalbe- amten nicht zu freundnachbarlichen Gepflogenheiten unter Ausschluss inquisitorischer Methoden zurückgekehrt sein werden, und davon unabhängig ist die Wehrsteuer in sou- veräner Anwendung von Artikel 17 Absatz 1 dieses Abkom- mens auch von den französischen Grenzgängern in jenen Kantonen an der Quelle einzubehalten, welche bis anhin dem Grenzgängerabkommen vom 18. Oktober 1935 nicht beigetreten sind. 2. Es sind die Verhandlungen über allfällige Änderungen schweizerisch-amerikanischer Abkommen sowie geeignete Konzessionen solange zu suspendieren, als amerikanische Instanzen sich nicht an bestehende Vereinbarungen und Gepflogenheiten halten, und dadurch Interessen der Schweiz, insbesondere schweizerischer Personen, geschä- digt werden. 3. Es sind die Artikel 41 bis Absatz 1d und 46 Absatz 2 der Bundesverfassung zum Schütze der Schweizer Souveränität und zugunsten der einzelnen Steuerzahler strikte zu befol- gen, und zwar als verbindlicher, auch für den zwischen- staatlichen Bereich gültiger Auftrag zur Beibehaltung des</w:t>
      </w:r>
    </w:p>
    <w:p>
      <w:r>
        <w:t>Schweizerisches Bundesarchiv, Digitale Amtsdruckschriften Archives fédérales suisses, Publications officielles numérisées Archivio federale svizzero, Pubblicazioni ufficiali digitali Motion Jaeger Oeko-Bonus auf Treibstoffen Motion Jaeger Consommation de carburants. Taxe d'orientation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85.495 Numéro d'objet Numero dell'oggetto Datum 17.09.1985 - 08:00 Date Data Seite 1362-1366 Page Pagina Ref. No</w:t>
      </w:r>
    </w:p>
    <w:p>
      <w:r>
        <w:rPr>
          <w:b/>
        </w:rPr>
        <w:t>E. 20</w:t>
      </w:r>
    </w:p>
    <w:p>
      <w:r>
        <w:t>013 685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