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85.443 vom 3. Oktober 1985</w:t>
      </w:r>
    </w:p>
    <w:p>
      <w:r>
        <w:t>Bundesverwaltung, 1985-10-03, DE</w:t>
      </w:r>
    </w:p>
    <w:p>
      <w:r>
        <w:rPr>
          <w:b/>
        </w:rPr>
        <w:t xml:space="preserve">Quelle: </w:t>
      </w:r>
      <w:r>
        <w:t>https://mcp.opencaselaw.ch/entscheid/ch_vb_85.443</w:t>
      </w:r>
    </w:p>
    <w:p>
      <w:r>
        <w:t>FR: CH_VB 85.443 du 3 octobre 1985</w:t>
      </w:r>
    </w:p>
    <w:p>
      <w:r>
        <w:t>IT: CH_VB 85.443 del 3 ottobre 1985</w:t>
      </w:r>
    </w:p>
    <w:p>
      <w:pPr>
        <w:pStyle w:val="Heading2"/>
      </w:pPr>
      <w:r>
        <w:t>Erwägungen</w:t>
      </w:r>
    </w:p>
    <w:p>
      <w:r>
        <w:rPr>
          <w:b/>
        </w:rPr>
        <w:t>E. 3</w:t>
      </w:r>
    </w:p>
    <w:p>
      <w:r>
        <w:t>octobre 1985 Arbeit geleistet hat, ausschliesslich auf die Bestimmung über die unerlaubte Handlung (Art. 41 ff OR) oder die unge- rechtfertigte Bereicherung (Art. 62 ff OR) berufen kann. Diese ausgesprochene Schutzfunktion und der soziale Cha- rakter dieser Norm bieten nach Auffassung des Bundesrates genügend Garantie dafür, dass der Arbeitgeber, der einen Ausländer ohne Arbeitsbewilligung einstellt, sich dabei strafbar macht und infolgedessen eine Busse bezahlen muss, letztlich nicht dadurch prämiert wird, dass er den Lohn spart, sondern dass er dem Arbeitnehmer aufgrund dieser Bestimmung den Lohn zu entrichten hat. Das ist die Auffassung des Bundesrates. In bezug auf die Sozialversicherung ist zu erwähnen, dass die AHV für alle natürlichen Personen obligatorisch ist, die in der Schweiz eine Erwerbstätigkeit ausüben (Art. 1 Abs. 1 Bst. b AHVG). Bei der Invalidenversicherung, der Arbeitslo- senversicherung und der beruflichen Vorsorge ist der Kreis der obligatorisch Versicherten in Anlehnung an die AHV bestimmt (vgl. Art. 1 Abs. 1 IVG, Art. 2 Abs. 1 Bst. a AVIG sowie Art. 2 und 5 BVG). Die obligatorische Unfallversiche- rung besteht für «die in der Schweiz beschäftigten Arbeit- nehmer» (Art. 1 Abs. 1 UVG); als Arbeitnehmer im Sinne des Gesetzes gilt jede Person, die - unabhängig von der Exi- stenz eines (gültigen) Arbeitsvertrags - zum Zwecke des Erwerbs in einem Unterordnungsverhältnis zu einem Dritten steht, für diesen tätig ist und selber kein Unternehmerrisiko trägt (vgl. EVGE 1952 Seite 233). Es kann somit davon ausgegangen werden, das ausländi- sche Schwarzarbeiter, allein durch die Tatsache ihrer Beschäftigung in der Schweiz, den Schutz der Sozialversi- cherung geniessen. Auf der anderen Seite kann aus den Stellungnahmen in Lehre und Rechtsprechung nicht geschlossen werden, dass Schwarzarbeiter bei ihrer Aus- schaffung des Lohnanspruchs verlustig gehen. In diesem Sinne erweist sich die verlangte Revision des Obligationen- rechts - zumindest im Moment - nicht für dringlich. Herr Ständerat Miville hat ausgeführt, dass es ihm darum gehe, diese Rechtsfrage zu klären. Der Bundesrat ist der Auffassung, dass es aufgrund der Entstehungsgeschichte und der Bedeutung von Artikel 320 Absatz 3 des Obligatio- nenrechts Aufgabe des Bundesgerichts sei, hier Recht zu sprechen, und sich die Entgegennahme der Motion im jetzi- gen Zeitpunkt nicht aufdränge. Miville: Ich danke der Frau Bundesrätin für diese Erläute- rung. Es handelt sich um eine durchaus grosszügige Inter- pretation der entsprechenden Bestimmungen; nur dürfen wir nicht darüber hinwegsehen, dass das nun einmal die Stellungnahme des Bundesrates, also der Exekutive, des Departementes, mit anderen Worten der Verwaltung, ist. Ich kann hierin noch keine genügende Garantie erkennen für das, was dann schliesslich in den Gerichten, im Bereich der dritten Gewalt, in dieser Frage geschehen wird. So, wie Sie Ihre Auskunft formuliert haben, würde ich nicht auf einer Überweisung als Motion beharren. Ich würde es aber- angesichts der vorläufig noch ungeklärten Fragen in diesem Bereich - als der Sache dienlich und als grosszügig erachten, wenn Sie meinen Vorstoss wenigstens als Postu- lat entgegennähmen, wenn er also sozusagen bei den Akten des Justiz- und Polizeidepartementes liegen würde, falls man sich mit dieser Frage wieder einmal zu befassen hat. Präsident: Herr Miville konnte sich mit der Umwandlung seiner Motion in ein Postulat einverstanden erklären. Ich frage Frau Kopp an, ob sie bereit ist, das Postulat entgegenzunehmen. Bundesrätin Kopp: Dem Anliegen von Herrn Ständerat Miville wäre sicher nicht Rechnung getragen, wenn ich jetzt einfach sagen würde, der Aktenberg in meinem Departe- ment sei schon so gross, dass es auf ein Postulat mehr oder weniger auch nicht mehr ankomme. Das wäre wirklich keine Antwort auf seine Frage! Das Anliegen, das uns Herr Stände- rat Miville unterbreitet hat, verdient geprüft zu werden. In diesem Sinne bin ich bereit, das Postulat entgegenzuneh- men. Falls sich eine Gerichtspraxis - entgegen dem, was wir erwarten, und entgegen dem, was aus den Materialien zu Artikel 320 Absatz 3 OR hervorgeht - entwickeln sollte, hätten wir einen Auftrag, uns mit dem Anliegen von Herrn Miville auseinanderzusetzen. Präsident: Wird das Postulat bestritten? Hefti: Ich möchte aber gegenüber gewissen Meinungen, die man gelegentlich aus dem Bundesrat hört, betonen, dass ein Postulat keinen verpflichtenden Auftrag an den Bundes- rat darstellt. Präsident: Wir nehmen von der Erklärung von Herrn Hefti Kenntnis. Miville: Bei allem Respekt und bei aller Sympathie, die ich für Herrn Hefti empfinde, muss ich doch sagen, dass diese Rechtsbelehrung für ungefähr alle Leute in diesem Rat nicht nötig gewesen wäre. Präsident: Ich stelle fest, dass das Postulat nicht bestritten ist. Überwiesen als Postulat - Transmis comme postulat #ST# 85.514 Interpellation Zumbühl Zunahme der Ehescheidungen Accroissement du taux de divorce Wortlaut der Interpellation vom 20. Juni 1385 Die Zahl der Ehescheidungen nimmt in der Schweiz seit über 15 Jahren kontinuierlich zu. Gemäss den neuesten Zahlen des Bundesamtes für Statistik wird heute fast jede dritte Ehe geschieden. Diese hohe Zahl der Scheidungen sollte zum Nachdenken zwingen, wird doch über die Institu- tion der Familie hinaus auch unser Staatswesen direkt be- troffen. Ich bitte deshalb den Bundesrat, sich zu folgenden Fragen zu äussern: - Teilt der Bundesrat die Befürchtung, dass die erschrek- kende Zunahme der Scheidungen und die meistens damit zusammenhängende Zerrüttung der Familien bedrohliche Folgen für unser Staatswesen zeitigen kann? - Welche Gründe macht der Bundesrat für die ständige Zunahme der Scheidungshäufigkeit verantwortlich? Wie beurteilt der Bundesrat in diesem Zusammenhang die Scheidungspraxis der Gerichte? - Sieht der Bundesrat Möglichkeiten, einen weiteren Anstieg der Scheidungshäufigkeit zu bremsen? Wird die kommende Revision des Scheidungsrechts im ZGB auch mit dem Ziel der Verringerung der Scheidungshäufigkeit geplant? Texte de l'interpellation du 20 juin 1985 Depuis plus de 15 ans le nombre des divorces en Suisse ne cesse de croître. Selon les derniers chiffres de l'Office fédé- ral de la statistique, presque un couple sur trois demande aujourd'hui le divorce. Ce chiffre élevé devrait nous faire réfléchir sérieusement. En effet, par delà l'institution de la famille, c'est notre structure sociale qui est directement touchée. C'est pourquoi je prie le Conseil fédéral de répondre aux questions suivantes:</w:t>
      </w:r>
    </w:p>
    <w:p>
      <w:r>
        <w:t>Schweizerisches Bundesarchiv, Digitale Amtsdruckschriften Archives fédérales suisses, Publications officielles numérisées Archivio federale svizzero, Pubblicazioni ufficiali digitali Motion Miville Sozialschutz für ausländische Arbeitnehmer ohne Bewilligung Motion Miville Droits des travailleurs étrangers sans permis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09 Séance Seduta Geschäftsnummer 85.443 Numéro d'objet Numero dell'oggetto Datum 03.10.1985 - 08:00 Date Data Seite 590-592 Page Pagina Ref. No 20 013 877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