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85.435 vom 17. Juni 1985</w:t>
      </w:r>
    </w:p>
    <w:p>
      <w:r>
        <w:t>Bundesverwaltung, 1985-06-17, DE</w:t>
      </w:r>
    </w:p>
    <w:p>
      <w:r>
        <w:rPr>
          <w:b/>
        </w:rPr>
        <w:t xml:space="preserve">Quelle: </w:t>
      </w:r>
      <w:r>
        <w:t>https://mcp.opencaselaw.ch/entscheid/ch_vb_85.435</w:t>
      </w:r>
    </w:p>
    <w:p>
      <w:r>
        <w:t>FR: CH_VB 85.435 du 17 juin 1985</w:t>
      </w:r>
    </w:p>
    <w:p>
      <w:r>
        <w:t>IT: CH_VB 85.435 del 17 giugno 1985</w:t>
      </w:r>
    </w:p>
    <w:p>
      <w:pPr>
        <w:pStyle w:val="Heading2"/>
      </w:pPr>
      <w:r>
        <w:t>Erwägungen</w:t>
      </w:r>
    </w:p>
    <w:p>
      <w:r>
        <w:rPr>
          <w:b/>
        </w:rPr>
        <w:t>E. 17</w:t>
      </w:r>
    </w:p>
    <w:p>
      <w:r>
        <w:t>Juni 1985 N 1075 Dringliche Interpellation Eisenring avis imperative, d'un non à l'endroit d'un projet qui est contraire à nos convictions. M. Pidoux: Oserais-je, en deux minutes et en français, rap- peler que la conduite de la politique étrangère est le privi- lège du Conseil fédéral? Cette recommandation de l'OCDE est un exemple de notre interdépendance envers l'étranger. Nous subissons l'in- fluence d'une majorité dans une organisation à laquelle nous participons. Il n'est pas admissible que notre pays'soit acculé dans un coin comme un boxeur, acculé à un choix absurde, c'est-à-dire soit de s'abstenir de voter cette recom- mandation, soit d'y mettre son veto. N'est-ce pas là un signe de la qualité médiocre de notre politique étrangère qui veut maintenant nous amener à l'ONU? Selon une belle devise de l'action gouvernementale, on peut soit subir soit conduire! Refuser en l'espèce de mettre notre veto, c'est alors accepter que notre pays ne veuille que subir. Bundesrat Stich: Nach den Informationen, die ich in letzter Zeit den Zeitungen entnommen habe, habe ich angenom- men, dass es heute eine ganz anständige Diskussion geben werde. Aber nehmen Sie es mir nicht übel, wenn ich zur Informationspolitik immerhin festhalte, dass der Bundesrat sicher keine Dokumente veröffentlicht, die von anderen Organisationen herausgegeben werden und mit «vertrau- lich» bzw. mit «Diffusion restreinte» versehen sind. Es ist abereinigermassen erstaunlich, wenn Herr Bonny, der im Gegensatz zu mir Erfahrung in der OECD hat und weiss, wie schweizerische Fachleute dort mitarbeiten können und welchen Einfluss sie haben, sagt, man merke nichts von der schweizerischen Arbeit. Ich lese hier unter Remarques: (zuerst wird ein anderes Land genannt)... et la Suisse n'ont pas été en mesure de se rallier au texte du présent rapport, ni aux propositions figurant aux paragraphes 21 à 24 ci-dessus». Das heisst also, dass die Schweizer immerhin einiges gesagt haben, Herr Bonny; wenn sie diesen Text - wie Sie versicherten - besit- zen, wäre es doch auch nett gewesen, auf die Bemerkungen der Schweizer zu verweisen. Umgekehrt bin ich 20 Jahre in diesem Rat gewesen; ich habe verschiedene Anträge gestellt und am Schluss auch kein Resultat gesehen. Es lag aber nicht an mir, sondern an den übrigen, weil sie nicht zugestimmt haben. Zur Informationspolitik des Bundesrates: Es handelt sich hier um einen Entscheid, den der Bundesrat treffen und den er als Weisung an seine Mitarbeiter geben muss. Es ist üblich, dass solche Weisungen nicht zum voraus bekannt- gegeben werden. Dies ist bei allen internationalen Organisa- tionen ebenfalls üblich. Wenn es sich um eine Verpflichtung handelt, die der Bundesrat eingeht, dann ist es natürlich üblich und selbstverständlich, dass der Bundesrat alle Vor- behalte der Ratifikation durch das Parlament, sofern not- wendig, anbringt. In diesem Falle hat der Bundesrat nicht die Absicht, eine Verpflichtung gegenüber dem Ausland einzugehen, und infolgedessen auch keinen besonderen Anlass, hier zum voraus - zum voraus schon gar nicht! - zu fragen, was er zu tun habe. Es ist grundsätzlich Sache des Bundesrates, Stellung zu nehmen, solange er die Schweiz nicht verpflichtet. Sie können ganz sicher sein, dass der Bundesrat die Abstimmung über das Bankgeheimnis bzw. das Bankgeheimnis ebenso ernst nimmt wie den Entscheid über die Schwerverkehrsabgabe. Das ist gar keine Frage! Auch in bezug auf die zukünftigen Wirkungen kann ich Sie beruhigen. Sie können dem UNO-Beitritt ruhig zustimmen; die dort gemachten Vorbehalte werden eingehalten so gut wie Ihre Vorbehalte, die sich in der schweizerischen Gesetz- gebung niederschlagen. Ganz abgesehen davon kann uns bekanntlich - und diese Erfahrung habeich hier auch schon gemacht-kein Mensch zwingen, ein Doppelbesteuerungsabkommen tatsächlich zu ratifizieren. Es kommt gelegentlich teuer, wenn man sie nicht ratifiziert, aber man kann niemanden zwingen, ein Doppelbesteuerungabkommen zu ratifizieren. Insofern ste- hen Ihnen also in der Zukunft alle Möglichkeiten der Stel- lungnahme offen. Man kann sich fragen: Soll der Bundesrat einfach sein Veto einlegen? Das ist eine Frage, die man sich stellen kann. Umgekehrt muss sich der Bundesrat dabei auch überlegen, dass die Schweiz voraussichtlich nicht das einzige Land ist, das dieser Empfehlung nicht zustimmt. Insofern wäre es natürlich sehr einfach, wenn der Bundesrat zum voraus beschliessen würde, das Veto einzulegen. Das würde für alle anderen Länder bedeuten, dass sie frisch-fröhlich zustim- men könnten, und die Schweiz hätte einmal mehr den Schwarzen Peter in der Hand. Deshalb ist es für den Bun- desrat ganz selbstverständlich, dass er seine Haltung nicht zum voraus an die grosse Glocke hängt und sie öffentlich bekanntgibt. Ich habe Ihnen schon in der Antwort dargelegt, dass der Bundesrat natürlich über seine Entscheidung orientieren wird, wenn diese Erklärung abgegeben worden ist. Er wird auch seine Begründung geben; das ist selbstverständlich. Im nächsten Geschäftsbericht werden Sie sicher darüber lesen können. Aber man kann nicht im Geschäftsbericht für das Jahr 1984 über Dinge berichten, die erst 1985 passieren. Präsident: Herr Bonny hat das Wort zu einer persönlichen Erklärung verlangt. Bonny: Ich mache es ganz kurz, nur um ein Missverständnis, Herr Bundesrat Stich, auszuräumen: Sie haben gesagt, schweizerische Arbeit habe jetzt ihren Niederschlag gefun- den. Ich habe das massgebende Dokument DAFFE CFA 84.5, Scale 1, vom 13.Juni 1984 vor mir. Das habe ich gelesen und dort findet sich nichts. Ich glaube Ihnen durch- aus, dass die Schweizer am Schluss erklärt haben, diesem Dokument nicht folgen zu können. Aber das Problem - und das sage ich jetzt aufgrund meiner OECD-Erfahrung - ist doch ein anderes: Wie bekommen wir in den Haupttext eine Darstellung der schweizerischer1! Position? Eine weitere Erfahrung, die man in der OECD macht, ist folgende: Es ist ausserordentlich schwer- das gebe ich ohne weiteres zu -, so ein Papier nach fünf, sechs Jahren noch irgendwie umzu- modeln. Man hatte jeweils dann Erfolg, wenn man in einer frühen Phase mit dem Hammer ansetzte und Korrekturen anbrachte. Es geht mir nicht darum, jemandem den Prozess zu machen; aber man hat sehr wahrscheinlich die Bedeu- tung dieses Geschäftes nicht früh genug in ihrer vollen Tragweite erkannt. Das musste hier klar gesagt werden. Präsident: Erklärt sich Herr Eisenring von der Antwort befriedigt? - Er ist nicht befriedigt.</w:t>
      </w:r>
    </w:p>
    <w:p>
      <w:r>
        <w:t>Schweizerisches Bundesarchiv, Digitale Amtsdruckschriften Archives fédérales suisses, Publications officielles numérisées Archivio federale svizzero, Pubblicazioni ufficiali digitali Dringliche Interpellation Eisenring OECD-Empfehlung zum Bankgeheimnis Interpellation urgente Eisenring Recommandation de l'OCDE concernant le secret bancaire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10 Séance Seduta Geschäftsnummer 85.435 Numéro d'objet Numero dell'oggetto Datum 17.06.1985 - 14:30 Date Data Seite 1070-1075 Page Pagina Ref. No</w:t>
      </w:r>
    </w:p>
    <w:p>
      <w:r>
        <w:rPr>
          <w:b/>
        </w:rPr>
        <w:t>E. 20</w:t>
      </w:r>
    </w:p>
    <w:p>
      <w:r>
        <w:t>013 457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