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85.433 vom 5. Juni 1985</w:t>
      </w:r>
    </w:p>
    <w:p>
      <w:r>
        <w:t>Bundesverwaltung, 1985-06-05, DE</w:t>
      </w:r>
    </w:p>
    <w:p>
      <w:r>
        <w:rPr>
          <w:b/>
        </w:rPr>
        <w:t xml:space="preserve">Quelle: </w:t>
      </w:r>
      <w:r>
        <w:t>https://mcp.opencaselaw.ch/entscheid/ch_vb_85.433</w:t>
      </w:r>
    </w:p>
    <w:p>
      <w:r>
        <w:t>FR: CH_VB 85.433 du 5 juin 1985</w:t>
      </w:r>
    </w:p>
    <w:p>
      <w:r>
        <w:t>IT: CH_VB 85.433 del 5 giugno 1985</w:t>
      </w:r>
    </w:p>
    <w:p>
      <w:pPr>
        <w:pStyle w:val="Heading2"/>
      </w:pPr>
      <w:r>
        <w:t>Erwägungen</w:t>
      </w:r>
    </w:p>
    <w:p>
      <w:r>
        <w:rPr>
          <w:b/>
        </w:rPr>
        <w:t>E. 5</w:t>
      </w:r>
    </w:p>
    <w:p>
      <w:r>
        <w:t>Stimmen Dagegen 21 Stimmen #ST# 85.370 Interpellation Miville Denkmalpflege. Bundesbeiträge Monuments historiques. Subventions fédérales Wortlaut der Interpellation vom 7. März 1985 Der Bundesbeschluss betreffend die Förderung der Denk- malpflege vom 14. März 1958 legt die Kriterien fest, gemäss denen Bundesbeiträge für die Erhaltung von Denkmälern usw. bewilligt werden. Die Verordnung über die Förderung der Denkmalpflege vom 26. August 1958 regelt die Einzelhei- ten und bestimmt in Artikel 9 Absatz 2 insbesondere, der Beitragssatz sei nach der Bedeutung des Denkmals, nach</w:t>
      </w:r>
    </w:p>
    <w:p>
      <w:r>
        <w:t>Schweizerisches Bundesarchiv, Digitale Amtsdruckschriften Archives fédérales suisses, Publications officielles numérisées Archivio federale svizzero, Pubblicazioni ufficiali digitali Motion Bührer Umweltschutzgesetz. Ergänzung Motion Bührer Loi sur la protection de l'environnement. Complément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03 Séance Seduta Geschäftsnummer 85.433 Numéro d'objet Numero dell'oggetto Datum 05.06.1985 - 08:00 Date Data Seite 294-296 Page Pagina Ref. No 20 013 610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