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85.370 vom 5. Juni 1985</w:t>
      </w:r>
    </w:p>
    <w:p>
      <w:r>
        <w:t>Bundesverwaltung, 1985-06-05, DE</w:t>
      </w:r>
    </w:p>
    <w:p>
      <w:r>
        <w:rPr>
          <w:b/>
        </w:rPr>
        <w:t xml:space="preserve">Quelle: </w:t>
      </w:r>
      <w:r>
        <w:t>https://mcp.opencaselaw.ch/entscheid/ch_vb_85.370</w:t>
      </w:r>
    </w:p>
    <w:p>
      <w:r>
        <w:t>FR: CH_VB 85.370 du 5 juin 1985</w:t>
      </w:r>
    </w:p>
    <w:p>
      <w:r>
        <w:t>IT: CH_VB 85.370 del 5 giugno 1985</w:t>
      </w:r>
    </w:p>
    <w:p>
      <w:pPr>
        <w:pStyle w:val="Heading2"/>
      </w:pPr>
      <w:r>
        <w:t>Erwägungen</w:t>
      </w:r>
    </w:p>
    <w:p>
      <w:r>
        <w:rPr>
          <w:b/>
        </w:rPr>
        <w:t>E. 5</w:t>
      </w:r>
    </w:p>
    <w:p>
      <w:r>
        <w:t>juin 1985 Der eidgenössische Finanzausgleich ist ein durchaus ernst- zunehmendes Thema. Es stellt sich die prinzipielle Frage, ob der eidgenössische Finanzausgleich durch Globalabgeltun- gen erfolgt oder im Rahmen jedes einzelnen Subventionsge- setzes. Aus meiner Sicht führt der globale Ausgleich zu einer gerechteren Ordnung. Sollten aber alle eidgenössischen Subventionsgesetze den Gesichtspunkt des Finanzaus- gleichs aufnehmen, so müsste geprüft werden, ob die Ein- teilung der Kantone in Finanzstärkeklassen für die Vertei- lung solcher Beiträge überhaupt einen geeigneten Massstab bildet. Unter Berücksichtigung des Aufgabenprofils des Stadt-Kantons, des Stadt-Staates Kanton Basel-Stadt, erscheint die Einstufung dieses Kantons durch die Bundes- verwaltung bezüglich der Finanzkraft äusserst problema- tisch. Ich schliesse mit einer Passage aus einer Rede von Herrn Bundesrat Stich, die eine direkte Gegenargumentation zur Praxis, die ich hier angreife, darstellt. Herr Bundesrat Stich hat in seinem Referat zum letztjährigen Städtetag in Binnin- gen, gemäss Zusammenfassung in der «Neuen Zürcher Zei- tung» vom 1./2. September 1984, festgehalten: Der finan- zielle Engpass der Städte sei eine Folge der Urbanisierung, die ein erhöhtes Mass von kommunalen Leistungen ver- lange, schon deshalb, weil sich die typischen Leistungsemp- fänger auf die Städte konzentrierten und die Güterproduk- tion hier besonders teuer sei. Zu den Konzentrations- und Ballungskosten kommen die hohen Aufwendungen der Kernstädte für ihre Zentrumsfunktionen, die weit über die politischen Gemeindegrenzen hinausreichen. Bundesrat Stich bestätigte den Städtdelegierten, dass die Eingaben und Vernehmlassungen des Städteverbandes in Bern nicht auf taube Ohren stossen, sondern als wichtige Information zur Kenntnis genommen werden. Wenn das auch nur eini- germassen stimmt und vom Bundesrat ernstgenommen wird und eingehalten werden soll, was hier Herr Bundesrat Stich den Städten zugesagt hat, so ist die Praxis der eidge- nössischen Denkmalsubventionen, die Praxis des Eidgenös- sischen Departements des Innern, gestützt auf diese Wei- sung vom Jahr 1978, nicht nur rechtlich bedenklich, son- dern auch sachlich nicht vertretbar. Bundesrat Egli: In Ih/er schriftlichen Begründung, Herr Miville, die Sie uns zukommen Messen, haben Sie sich auch darüber beklagt, dass der Kanton Basel-Stadt von meinem Departement bzw. vom Bund schnöde behandelt worden sei. Die Befürchtungen treffen nicht zu, dass alle Beitragsgesu- che aus Ihrem Kanton seit 1978 abgelehnt worden sind. In Tat und Wahrheit handelt es sich nur um sieben Beitragsge- suche in den Jahren 1978 bis 1984, und zwar aufgrund der Weisung des Departementes, die Sie zitiert haben (soge- nannte Dringlichkeitsordnung). Darunter befindet sich - wie Sie richtig in Ihrer schriftlichen Begründung bemerken - unter anderem auch das Spalentor. Jedoch sei zu erwähnen, dass im gleichen Zeitraum an den Kanton Basel-Stadt Sub- ventionen im Betrage von mehr als 2,5 Millionen ausbezahlt worden sind. Zum Rechtsstreit, den Sie heraufbeschwören wollen, muss ich Ihnen folgendes erklären, und ich bitte alle Rechtslehrer und Juristen, die in diesem Saale sitzen, mich zu korrigieren, wenn ich etwas Falsches sage. Richtig ist es, Herr Miville, dass der Grunderlass, nämlich der Bundesbeschluss betreffend Förderung der Denkmal- pflege, nicht eine Kann-Formel enthält, sondern sagt: Der Bund richtet Beiträge aus. Es ist aber darauf zu achten, dass Artikel 2 dieses Bundesbeschlusses den Kredit für diese Beiträge auf 1,5 Millionen Franken beschränkt. Nun wissen wir, dass die Denkmalbeiträge des Bundes weit über diesen Betrag hinausgehen. Sie machen heute zwischen 20 und 30 Millionen Franken aus und erhöhen sich jedes Jahr. Aber es ist leider nicht möglich, alle Beiträge zu leisten, die vom Bund verlangt werden. Aus diesem Grunde war mein Vor- gänger verpflichtet, um der Rechtsgleichheit willen, eine Dringlichkeitsordnung aufzustellen. Nach dieser Dringlich- keitsordnung werden kantonseigene Objekte zum vorneher- ein ausgeschaltet, und bei Gemeinden, Kirchgemeinden, öffentlich-rechtlichen und privaten Körperschaften wird Rücksicht genommen auf ihre Finanzkraft. Es ist auch richtig, dass der Bundesrat diese Praxis des Departementes des Innern geschützt hat. Leider besteht noch kein Bundesgerichtsurteil in dieser Frage. Und warum? Das Organisationsgesetz sagt über die Beschwer- defähigkeit an das Bundesgericht aus, dass bei Beiträgen, Subventionen und dergleichen nur dann die Verwaltungsge- richtsbeschwerde gegeben ist, wenn es sich um einen recht- lichen Anspruch handelt. In allen übrigen Fällen, wo es um eine Kann-Vorschrift geht, wo also der Staat (hier der Bund) nicht zur Leistung verpflichtet ist, ist die Verwaltungsbe- schwerde an den Bundesrat gegeben. Nun ist es natürlich interessant festzustellen, dass alle diejenigen, die sich beschwert haben, die Frage ihres Anspruches ja bereits selbst präjudizieren, wenn sie an den Bundesrat gelangen und nicht an das Bundesgericht. Wenn Sie sich beim Bun- desrat beschweren, geben sie ja zu, dass sie keinen Anspruch haben. Nun gibt es aber eine Reihe von bundesgerichtlichen Urtei- len, in anderen Fällen, nicht in Denkmalschutzsubventionen, wo das Bundesgericht sagt, wenn im Grunderlass - hier steht also der erwähnte Bundesbeschluss in Frage - die Beschränkung schon vorgesehen sei, dann könne der Bund frei entscheiden, ob er über das, was über die Beschrän- kung hinausgeht, Subventionen zusprechen wolle oder nicht. Heute gilt immer noch der erwähnte Bundesbeschluss betreffend Förderung der Denkmalpflege, welche der Kredit für die Subventionen auf 1,5 Millionen beschränkt. Also müssen wir wohl oder übel für die Beträge, die darüber hinausgehen, eine Prioritätsordnung schaffen, damit die Rechtsgleichheit einigermassen gewahrt bleibt. Denn über die Beträge von 1,5 Millionen hinaus ist nach dieser Recht- sprechung des Bundesrates und des Bundesgerichts der Bund frei, Beiträge gutzusprechen oder nicht. Selbstver- ständlich kann er das nicht willkürlich tun, sondern er muss eine gewisse Praxis befolgen, und deshalb war mein Vor- gänger gezwungen, diese Dringlichkeitsordnung zu er- lassen. Ich bin also überzeugt, dass wir rechtlich auf dem richtigen Weg sind, wenn wir weiterhin diese Weisung beachten, und dass wir nur so rechtsgleich handeln können. Sie selbst wissen ja, dass der Bundesrat nicht frei ist, in den jeweiligen Budgets die Beträge für Denkmalschutz beliebig nach oben hinaufzusetzen. Hier würde bestimmt das Parlament korri- gierend eingreifen. Miville: Ich bin von der erhaltenen Auskunft natürlich nicht befriedigt und überlege mir, wie da motionsweise weiter vorgegangen werden kann. Stucki: Ich möchte doch beantragen, hier kurz eine Diskus- sion durchzuführen. Zustimmung - Adhésion Stucki: Der Sprechende gehört nicht zu denen, welche bei jeder Gelegenheit nach vermehrten Bundessubventionen Ausschau halten. Dennoch muss man für das Problem, das Herr Kollege Miville hier aufgeworfen hat, ein gewisses Verständnis aufbringen. Es ist in der Tat störend, dass der Bund aufgrund einer internen departementalen Weisung nun völlig willkürlich einige Kantone in einem bestimmten Denkmalpflegebereich ausschliesst. Wir haben auch bei uns aufgrund ähnlicher Tatbestände, wie sie von Herrn Kollege Miville geschildert wurden, die Weisung des Departementes etwas näher angesehen, und wir stellen fest, dass in dieser Weisung 1978 Widersprüche gegenüber der übergeordneten Verordnung aus dem Jahre 1958 bestehen. Man hat die Weisung 1978 unter dem Stich- wort einer Dringlichkeitsordnung erlassen, in der Meinung, dass man dann baldmöglichst diese übergeordneten Rechtssätze entsprechend anpassen würde.</w:t>
      </w:r>
    </w:p>
    <w:p>
      <w:r>
        <w:rPr>
          <w:b/>
        </w:rPr>
        <w:t>E. 6</w:t>
      </w:r>
    </w:p>
    <w:p>
      <w:r>
        <w:t>Juni 1985 299 Geschäftsbericht des Bundesrates Nun ist ja auch von Herrn Miville gesagt worden, dass in dieser Verordnung selber, die als allgemeine Marschrich- tung für die Bundesbeitragsausrichtung gesehen wird, drei- stufig Bundesbeiträge gesprochen werden können: 10 bis 15 Prozent für Denkmäler von lokaler Bedeutung, 15 bis 25 Prozent für Denkmäler von regionaler Bedeutung und 30 bis 40 Prozent für Denkmäler von gesamtschweizerischer Bedeutung. Nirgends ist in dieser Verordnung davon die Rede, dass diese Beitragsmöglichkeit bei Null beginne, son- dern es ist ganz klar eine untere Grenze gesetzt, eine Grenze, die auch bei den sogenannt finanzstarken Kanto- nen, wie jetzt in diesem Fall Basel, einzuhalten wäre. Nun sind ja - das muss man zugeben - die finanziellen Mittel für die Denkmalpflege beschränkt, und es ist verständlich, dass das Departement gezwungen war, 1978 Prioritäten zu set- zen. Das ist der Grund, weshalb diese Dringlichkeitsordnung erlassen worden ist. Dafür habe ich auch Verständnis, aber Prioritäten so zu setzen, dass einfach willkürlich einzelne Kantone ausgeschlossen werden, ist nicht richtig und nicht akzeptabel. Vielmehr sollte man eine verschärfte Selektion nach den qualitativen denkmalpflegerischen Stellenwerten der einzelnen Objekte oder, was sich nun offenbar abzeich- net, eine Aufstockung der zur Verfügung stehenden Mittel für die Denkmalpflege im Bereich dieser Bundesbeiträge vornehmen. Offenbar zeigt sich im Zusammenhang mit der neuen Aufschlüsselung der Treibstoffzollerträge eine gewisse Möglichkeit, ohne dass man allgemeine Bundesmit- tel in Anspruch nehmen müsste. Es wäre letztlich auch denkbar, Herr Bundesrat, dass im Zusammenhang mit dem Aufgabenteilungspaket zweite Serie nach neuen Lösungen gesucht würde. Dort ist ja unter dem Stichwort «Denkmal- pflege» eine neue Ordnung zwischen Bund und Kantonen vorgesehen. Beispielsweise könnte man das Problem auch mit sogenannten Globalbeiträgen pro Kanton auf eine relativ einfache administrative Weise angehen. Das einfach im Sinne eines zusätzlichen Hinweises. Bundesrat Egli: Ich möchte zu den letzten Bemerkungen noch beifügen, Herr Stucki, dass wir nicht beliebig Kantone auswählen, welche zum Zuge kommen oder nicht, sondern nach der Dringlichkeitsordnung wird erstens unterschieden, ob das Denkmal einem drohenden Substanzverlust unter- liegt, und zweitens, ob es ohne Bundeshilfe nicht finanziert werden kann. Abgesehen von dieser Voraussetzung werden Restaurierungen von Bauten im Besitze der Kantone, finanz- starker politischer Gemeinden oder Kirchgemeinden und anderer öffentlich-rechtlicher oder privater Körperschaften nicht finanziert - also die Kantone schlechthin. Kürzlich hat der Kanton Luzern, der seine Schlachtkapelle in Sempach für das nächstjährige 700-Jahr-Jubiläum renovieren muss, keinen Beitrag erhalten, weil diese Kapelle dem Kanton gehört. Wir treffen also keine Selektion bei den Kantonen. Im übrigen haben Sie, das Parlament, es in der Hand, die entsprechenden Budgetposten jeweils zu erhöhen; aber wie wollen Sie, dass wir eine Rechtsgleichheit herbringen, wenn die Gesuche grösser sind als der verfügbare Betrag nach dem Budget, wenn wir nicht zu Massnahmen greifen, die eben eine bestimmte Priorität einführen? Schluss der Sitzung um 12.05 Uhr La séance est levée à 12 h 05 #ST# Vierte Sitzung - Quatrième séance Donnerstag, 6. Juni 1985, Vormittag Jeudi 6 juin 1985, matin 8.00h Vorsitz - Présidence: Herr Kündig 85.021 Geschäftsbericht des Bundesrates, des Bundesgerichts und des Eidgenössischen Versicherungsgerichts 1984 Gestion du Conseil fédéral, du Tribunal fédéral et du Tribunal fédéral des assurances 1984 Fortsetzung - Suite Siehe Seite 257 hiervor - Voir page 257 ci-devant Justiz- und Polizeidepartement Département de justice et police Masoni, Berichterstatter: Auch beim Geschäftsbericht 1984 hat sich unsere Sektion erneut mit den Rechtsetzungspro- blemen und mit der Rechtshilfepraxis befasst, die schon bei der Behandlung des Berichtes 1983 Gegenstand von Fragen waren. Zu den Rechtsetzungsproblemen betreffend das Bundesamt für Justiz: Letztes Jahr hatte Bundesrat Friedrich Gelegen- heit, uns die Ursachen der Gesetzesflut darzulegen, und zwar auch die, die beim Parlament liegen; ferner die Abwehrmassnahmen. Die Eindämmung unnötiger Gesetze zum Vorteil der wirklich notwendigen bleibt eine Dauerauf- gabe, die dem Parlament nicht weniger als dem Bundesrat stetig bewusst sein muss. In den Grundsätzen der Rechtset- zung ist unter III folgende Anmerkung zu finden: «Wenn zahlreiche Normen neu gesetzt werden, besteht die Gefahr, dass sie nicht gewollte Nebenfolgen zeitigen, deren Nach- teile mitunter die mit der Regelung beabsichtigten Vorzüge aufwiegen.» Dieser wichtige Gedanke kommt leider in der sogenannten Checkliste für die Überprüfung bestehender oder entworfener Normen nicht genügend zum Ausdruck. In Beantwortung einer Frage unserer Sektion hat das Bun- desamt für Justiz anerkannt, dass an sich «eine vertiefte, systematische Analyse der Wirkungsweise von Gesetzen, insbesondere der Durchsetzungsfragen, erwünscht wäre. Bundesversammlung, Bundesrat und Bundesverwaltung wären daran in gleicherweise interessiert.» Das Bundesamt für Justiz prüft diese Fragen. Wir haben bei der mündlichen Behandlung der Frage mit Befriedigung festgestellt, dass auch die Departementsvorsteherin das Problem der uner- wünschten Nebenwirkungen von Gesetzen mit besonderem Interesse verfolgt. Vielleicht würde es sich lohnen, auch eine entsprechende Frage in die Checkliste unter «Durchsetzbar- keit» ausdrücklich aufzunehmen. Die Rechtshilfeprobleme berühren den Kompetenzbereich des Bundesamts für Polizeiwesen. Die Sektion hat für 1984 die Probleme der Rechtshilfe mit den USA verfolgt und wird es auch in Zukunft tun. Wir haben ein Interesse an einer speditiven, jedoch rechtsstaatlich einwandfreien Behand- lung dieser Verfahren. Wir erwarten aber eine feste Haltung der Behörden dort, wo es darum geht, ungerechtfertigte, unverhältnismässige oder inopportune Gesuche abzuleh- nen oder zu verhindern, dass fremde Gerichte mit der Dro- hung von Bussen und Sanktionen versuchen, die Erlangung der Rechtshilfe von uns zu erzwingen oder die Betroffenen 39-S</w:t>
      </w:r>
    </w:p>
    <w:p>
      <w:r>
        <w:t>Schweizerisches Bundesarchiv, Digitale Amtsdruckschriften Archives fédérales suisses, Publications officielles numérisées Archivio federale svizzero, Pubblicazioni ufficiali digitali Interpellation Miville Denkmalpflege. Bundesbeiträge Interpellation Miville Monuments historiques. Subventions fédérales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03 Séance Seduta Geschäftsnummer 85.370 Numéro d'objet Numero dell'oggetto Datum 05.06.1985 - 08:00 Date Data Seite 296-299 Page Pagina Ref. No 20 013 611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