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85.304 vom 10. Juni 1985</w:t>
      </w:r>
    </w:p>
    <w:p>
      <w:r>
        <w:t>Bundesverwaltung, 1985-06-10, DE</w:t>
      </w:r>
    </w:p>
    <w:p>
      <w:r>
        <w:rPr>
          <w:b/>
        </w:rPr>
        <w:t xml:space="preserve">Quelle: </w:t>
      </w:r>
      <w:r>
        <w:t>https://mcp.opencaselaw.ch/entscheid/ch_vb_85.304</w:t>
      </w:r>
    </w:p>
    <w:p>
      <w:r>
        <w:t>FR: CH_VB 85.304 du 10 juin 1985</w:t>
      </w:r>
    </w:p>
    <w:p>
      <w:r>
        <w:t>IT: CH_VB 85.304 del 10 giugno 1985</w:t>
      </w:r>
    </w:p>
    <w:p>
      <w:pPr>
        <w:pStyle w:val="Heading2"/>
      </w:pPr>
      <w:r>
        <w:t>Erwägungen</w:t>
      </w:r>
    </w:p>
    <w:p>
      <w:r>
        <w:rPr>
          <w:b/>
        </w:rPr>
        <w:t>E. 10</w:t>
      </w:r>
    </w:p>
    <w:p>
      <w:r>
        <w:t>Juni 1985 N 955 Motion der sozialdemokratischen Fraktion Nationalrat Herczog, Sie haben das Gutachten des Betriebs- wissenschaftlichen Instituts nicht richtig interpretiert. Es geht dort nicht um das Prinzip der Teilung - gemeinwirt- schaftliche Leistung, Abgeltung, kommerzieller Bereich und Eigenwirtschaftlichkeit -, sondern nur um die Methode. Das BWI geht von einer eigentlichen Sockelmethode aus: gemeinwirtschaftlicher Bereich als Sockelangebot und dann Aufstockung der kommerziellen Leistungen. Die SBB haben - weder im Januar noch vor- oder nachher- in bezug auf den Leistungsauftrag 1982 und die Auswertung etwas anderes vertreten, als das, was ich hier gesagt habe. Darf ich Ihnen ganz generell empfehlen, immer das als gültig hinzu- nehmen, was ich hier in diesen Fragen meines Departemen- tes für den Bundesrat sage? Nationalrat Jaeger, die Finanzierung der Vorhaben, die wir verfolgen - also «Bahn 2000» und auch Tarifmassnahmen - ist dann gesichert, wenn das bundesrätliche Konzept inklu- sive KVP insgesamt realisiert wird. Wir können für unbe- stimmte Varianten natürlich nicht auch noch Finanzierungs- möglichkeiten anbieten. Die Aussichten sind keineswegs schlecht; sie sind sogar gut, wenn wir bei den klar festgeleg- ten Zielen bleiben, wenn wir eine gerade Linie einhalten und diese tatkräftig realisieren. Es wurde natürlich schon viel in Richtung «Bahn 2000» gemacht: die KVP-Vorlage, der Lei- stungsauftrag SBB, die Rahmenkredite KTU - die neue Treibstoffzollverwendung ist auch integriert- und dann die Vorlage für die Nationalstrassenpolitik der. kommenden Jahre. Frau Christinat, darf ich Ihnen empfehlen, die GVK noch einmal zur Hand zu nehmen und zu lesen? Sie werden dort nämlich die offenbar überraschende Feststellung machen, dass das, was wir jetzt als «Bahn 2000» präsentieren, kon- zeptionell bereits durch die Expertenkommission Hürlimann (GVK) vorgeschlagen war. Nur ging die NHT in der Realisie- rung voraus. Aber die Kommission Hürlimann hat in der GVK bereits einen Aufwand von etwa 5 Milliarden Franken für das übrige Schienennetz namhaft gemacht. Es ging der Kom- mission Hürlimann - also der GVK - nie um die NHT. Jetzt haben wir das Ganze in ein Konzept integriert, und wir haben die Neubaustrecken wesentlich reduziert. Das ist die Neuerung. Nationalrat Clivaz, ich danke Ihnen für das Zitat. Ich kann diese Auffassung nur teilen und sagen: Jawohl, Taten sind notwendig, aber natürlich die richtigen. Es müssen die zweckmässigen und auch die unter finanziellen und ändern Gesichtspunkten realisierbaren Taten sein. Dem wird die Motion in verschiedenen Punkten nicht oder nur teilweise gerecht. Es wäre beispielsweise undenkbar, Ziffer 1 beim Leistungsauftrag 87 (die Eigenwirtschaftlichkeit) fallen zu lassen. Das wäre eine völlig neue Weichenstellung in Abwei- chung auch dessen, was die GVK vorschlägt. Oder: Generell im ganzen Lande den Halbstundentakt einzuführen, das wäre im Hinblick auf die betriebswirtschaftlichen Möglich- keiten nicht gangbar. Auch das vorzeitige Inkraftsetzen eines siebten Rahmenkredites (Ziffer 6) wäre gar nicht reali- sierbar, weil wir weder die Beteiligung der Kantone mit ungefähr der Hälfte noch die Vergabe der Bestellungen bereits, um ein Jahr vorgezogen, ab 1986 realisieren könnten. Im Punkt 7 - ich will darauf nicht näher eingehen - hat es einige Elemente, für die es einer Verfassungsrevision bedürfte, wenn man sie realisieren wollte. Ich möchte Sie also bitten, die Motion nicht in dieser Form zu überweisen. Hingegen ist der Bundesrat bereit, sie als Postulat entgegenzunehmen. Motion der sozialdemokratischen Fraktion Motion du groupe socialiste Präsident: Wir bereinigen die Vorstösse. Der Bundesrat beantragt Ihnen, die Motion der sozialdemokratischen Frak- tion in ein Postulat umzuwandeln. Herr Bircher hält als Sprecher der sozialdemokratischen Fraktion an der Motion fest. Abstimmung - Vote Für die Überweisung als Motion Für die Überweisung als Postulat Überwiesen - Transmis 40 Stimmen 58 Stimmen Interpellation der freisinnig-demokratischen Fraktion Interpellation du groupe radical • Präsident: Herr Steinegger bestätigt, dass er von der Ant- wort des Bundesrates befriedigt ist. Postulat Müller-Meilen Präsident: Der Bundesrat ist bereit, dieses Postulat entge- genzunehmen. Wird es aus der Mitte des Rates bekämpft? - Das ist nicht der Fall. Überwiesen - Transmis #ST# 83.514 Motion der sozialdemokratischen Fraktion SBB. Leistungsauftrag Motion du groupe socialiste Contrat d'entreprise des CFF Wortlaut der Motion vom 23. Juni 1983 Der Bundesrat wird beauftragt, den eidgenössischen Räten Bericht und Antrag zur Anpassung des Leistungsauftrages der SBB an die heutigen veränderten Verhältnisse zu unter- breiten, wobei die volkswirtschaftlichen Aufgaben, welche die Bundesbahnen von Gesetzes wegen zu erfüllen haben, mitzuberücksichtigen sind. Texte de la motion du 23 juin 1983 Le Conseil fédéral est chargé de soumettre aux Chambres fédérales un rapport assorti de propositions tendant à adap- ter le mandat conféré aux CFF à l'évolution de la situation; les réajustements préconisés devraient également porter sur les tâches relevant de l'économie publique, que les CFF sont tenus d'accomplir en vertu de la législation. Sprecher - Porte-parole: Weber-Arbon Schriftliche Begründung - Développement par écrit Nach Artikel 3 des SBB-Gesetzes vom 23. Juni 1944 haben die Bundesbahnen der Volkswirtschaft und der Landesver- teidigung zu dienen. Sie sind zudem nach gesunden betriebswirtschaftlichen Grundsätzen zu verwalten und zu betreiben. Sie sind dauernd in gutem Zustand zu erhalten und haben sich den Erfordernissen des Verkehrs.und den Fortschritten der Technik anzupassen. Nach dem Leistungsauftrag 1982/1986 haben die SBB nach unternehmerischen Grundsätzen den vollen Rechnungsaus- gleich anzustreben. Bereits im ersten Jahr hat sich leider gezeigt, dass die SBB nicht in der Lage sind, diesen Lei- stungsauftrag zu erfüllen: So sollte zum Beispiel der Wagen- ladungsverkehr bis 1986 volle Kostendeckung erzielen, der Stückgutverkehr einen höchstmöglichen Beitrag an die Ver- bundskosten erwirtschaften. In Tat und Wahrheit ergab sich beim Wagenladungsverkehr 1982 ein Volumenrückgang von nicht weniger als 8,2 Prozent, beim Stückgutverkehr sogar ein solcher von 10,4 Prozent. Die im Leistungsauftrag enthaltene Herabsetzung der Finanzhilfe des Bundes im Stückgutverkehr ist deshalb völlig unrealistisch, ebenso die volle Kostendeckung für den Wagenladungsverkehr in den nächsten vier Jahren.</w:t>
      </w:r>
    </w:p>
    <w:p>
      <w:r>
        <w:t>Schweizerisches Bundesarchiv, Digitale Amtsdruckschriften Archives fédérales suisses, Publications officielles numérisées Archivio federale svizzero, Pubblicazioni ufficiali digitali Postulat Müller-Meilen Förderung des öffentlichen Verkehrs. Investitionsplan Postulat Müller-Meilen Développement des transports publics. Programme d'investissements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06 Séance Seduta Geschäftsnummer 85.304 Numéro d'objet Numero dell'oggetto Datum 10.06.1985 - 14:30 Date Data Seite 946-955 Page Pagina Ref. No 20 013 443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