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85.240 vom 18. Juni 1986</w:t>
      </w:r>
    </w:p>
    <w:p>
      <w:r>
        <w:t>Bundesverwaltung, 1986-06-18, DE</w:t>
      </w:r>
    </w:p>
    <w:p>
      <w:r>
        <w:rPr>
          <w:b/>
        </w:rPr>
        <w:t xml:space="preserve">Quelle: </w:t>
      </w:r>
      <w:r>
        <w:t>https://mcp.opencaselaw.ch/entscheid/ch_vb_85.240</w:t>
      </w:r>
    </w:p>
    <w:p>
      <w:r>
        <w:t>FR: CH_VB 85.240 du 18 juin 1986</w:t>
      </w:r>
    </w:p>
    <w:p>
      <w:r>
        <w:t>IT: CH_VB 85.240 del 18 giugno 1986</w:t>
      </w:r>
    </w:p>
    <w:p>
      <w:pPr>
        <w:pStyle w:val="Heading2"/>
      </w:pPr>
      <w:r>
        <w:t>Erwägungen</w:t>
      </w:r>
    </w:p>
    <w:p>
      <w:r>
        <w:rPr>
          <w:b/>
        </w:rPr>
        <w:t>E. 18</w:t>
      </w:r>
    </w:p>
    <w:p>
      <w:r>
        <w:t>Juni 1986 383 Rüstungsprogramm 1986 Suisses de l'étranger qui, pour différentes raisons, s'expat- rient. Chose étonnante, cette motion, adoptée massivement par les deux conseils avec les majorités que j'ai citées tout à l'heure, n'a pas reçu l'agrément de la majorité du Conseil fédéral qui a proposé de la classer. Cette proposition me paraît extrêmement grave. Il est très rare, en effet, qu'une motion passe le cap des deux conseils, et qu'elle le fasse avec de telles majorités, contre l'avis du Conseil fédéral qui, systématiquement, propose de transformer les motions en postulats. En prétendant la classer, le Conseil fédéral remet en que- stion les compétences du pouvoir législatif. C'est un précé- dent grave. C'est pourquoi je suis revenue à la charge avec une initiative. Le Dr Gautier interviendra dans le même sens au Conseil national. Par conséquent, je vous prie, par souci de cohérence et d'équité, par souci avant toute chose de rappeler au Conseil fédéral qu'il ne peut passer outre à une décision de nos deux conseils, d'accepter cette initiative. M. Aubert, conseiller fédéral: Je m'exprimerai rapidement puisque le Conseil fédéral a été mis en cause dans cette affaire. Madame Bauer, vous me prenez par les sentiments. En effet, combien je serais heureux que les épouses de nos ambassa- deurs à l'étranger puissent également voter par correspon- dance. Or, l'article 4 de notre constitution stipule l'égalité en la matière. Il se pose alors aussi le problème des autres Suisses de l'étranger; je pense aux employés de Swissair, de l'Office nationale suisse du tourisme (ONST) et à leurs conjoints qui, eux aussi, pourraient avoir le droit de voter par correspondance, étant donné qu'ils sont tenus de vivre à l'étranger. Une question d'égalité et d'équité se pose. Il est exact que la Commission des pétitions du Conseil des Etats a accepté votre initiative, le 7 avril 1986. Il est exact aussi que la Commission des pétitions et de l'examen des constitutions cantonales du Conseil national a accepté l'iniatiative déposée par M. Gautier, le 3 février 1986. Si, comme cela semble être le cas, vous acceptez cette initiative parlementaire, elle sera renvoyée à une commis- sion qui l'examinera et qui présentera une proposition du Conseil des Etats. Cette proposition sera soumise au Conseil fédéral, lequel prendra position sur ce sujet, par écrit. Une suite y sera donc donnée. A ce moment-là seule- ment, votre conseil se déterminera définitivement. Vous n'ignorez pas, Madame Bauer, où vont mes sympa- thies, mais j'adopte les arguments de M. Eichenberger qui tiennent compte de l'Etat de droit, et du respect de la constitution. C'est d'ailleurs ce que le Conseil fédéral a toujours soutenu. Präsident: Die Petitionskommission beantragt uns mit einer Gegenstimme, der parlamentarischen Initiative Folge zu lei- sten. Sie haben der Initiative Folge geleistet. An den Nationalrat - Au Conseil national #ST# 86.005 Rüstungsprogramm 1986 Programme d'armement 1986 Botschaft und Beschlussentwurf vom 19. Februar 1986 (BBI l, 949) Message et projet d'arrêté du 19 février 1986 (FF I, 1045) Antrag der Kommission Eintreten Proposition de la commission Entrer en matière Kündig, Berichterstatter: Die Militärkommission hat zur Vor- lage des Bundesrates über die Beschaffung von Rüstungs- material Stellung bezogen und beantragt dem Rat, darauf einzutreten und ihr zuzustimmen. Das Rüstungsprogramm stellt in seinem Umfang und Inhalt einen weiteren Ausbauschritt dar, der den Regierungsrichtli- nien der Legislaturperiode 1984/87 entspricht. Besondere Berücksichtigung fand dabei die Frage, ob die mit dem Rüstungsprogramm 1985 durch die Erhöhung der Anzahl Kampfpanzer Leopard II eingegangene höhere Finanzver- pflichtung bis 1989 wieder ausgeglichen wird. Obwohl auch in diesem Beschaffungsprogramm von einem hohen Ver- pflichtungskredit gesprochen werden wird, hatten wir uns davon überzeugen können, dass die jährlich anfallenden Zahlungskredite im Rahmen des Finanzplanes und der Haushaltperspektiven liegen. Als weiterer wesentlicher Punkt wurde die militärische Not- wendigkeit der vorgesehenen Beschaffungen überprüft. Besondere Beachtung wurde dabei dem neuen Waffensy- stem Tow/Piranha geschenkt. Es geht darum, die seit einiger Zeit unterdotierte Panzerabwehr der Infanterieregimenter zu verstärken und an die Bedürfnisse der heutigen Zeit anzu- passen. Die Panzerabwehrwaffe Tow/Piranha wird einge- setzt in Auszugsinfanterieregimentern, motorisierten Infan- terieregimentern, Radfahrerregimentern und in den Ge- birgsdivisionen. Die Kommission konnte sich davon über- zeugen, dass der taktische Einsatz in den vorgesehenen Truppenkörpern zu einer namhaften Verbesserung der Abwehrbereitschaft führen wird. Aufgrund der zur Verfügung stehenden Unterlagen, der Einsatz- und Schiessdemonstration, konnten wir uns davon überzeugen, dass sowohl das gepanzerte Fahrzeug, als auch das Raketensystem den Bedürfnissen und der Miliz- tauglichkeit entsprechen. Die Treffergenauigkeit konnte uns anhand von statistischen Angaben über die Versuchsschiessen und die Truppener- probung sowie anlässlich einer Schiessdemonstration ein- drücklich belegt werden. Bedenken, dass radgetriebene Panzerfahrzeuge verletzlicher seien und im Gelände Nach- teile besessen, konnten weitgehend entkräftet werden. Besonders ins Gewicht fällt dabei auch die Radfahrzeugen eigene Beweglichkeit und Geschwindigkeit im Gelände und besonders auf der Strasse. Die Wirkung der Munition entspricht den heutigen Anforderungen; die Geschosse sind in der Lage, alle heute bekannten Panzerungen zu durch- schlagen. Die gleiche Aussage kann für den modifizierten Gefechtskopf der Munition für die Panzerabwehrlenkwaffe Dragon gemacht werden, die als zweite Position im Rüstungsprogramm enthalten ist und beschlossen werden sollte. Im Bereich Genie- und Festungswesen sind drei wesentliche Erweiterungen vorgesehen: 1. der Weiterausbau der Abwehrlinie durch neue Anlagen mit 12-cm-Festungsminenwerfer; 2. die Munition zu diesen Geschützen; 3. die Verstärkung der sogenannten festen Brücke und dadurch Erhöhung der Belastungsgrenze und Vergrösse- rung der Spannweite.</w:t>
      </w:r>
    </w:p>
    <w:p>
      <w:r>
        <w:t>Schweizerisches Bundesarchiv, Digitale Amtsdruckschriften Archives fédérales suisses, Publications officielles numérisées Archivio federale svizzero, Pubblicazioni ufficiali digitali Parlamentarische Initiative (Bauer) Bundespersonal im Ausland. Politische Rechte der Ehegatten Initiative parlementaire (Bauer) Agents de la Confédération à l'étranger. Droits politiques des conjoints In Amtliches Bulletin der Bundesversammlung Dans Bulletin officiel de l'Assemblée fédérale In Bollettino ufficiale dell'Assemblea federale Jahr 1986 Année Anno Band II Volume Volume Session Sommersession Session Session d'été Sessione Sessione estiva Rat Ständerat Conseil Conseil des Etats Consiglio Consiglio degli Stati Sitzung 10 Séance Seduta Geschäftsnummer 85.240 Numéro d'objet Numero dell'oggetto Datum 18.06.1986 - 08:00 Date Data Seite 380-383 Page Pagina Ref. No</w:t>
      </w:r>
    </w:p>
    <w:p>
      <w:r>
        <w:rPr>
          <w:b/>
        </w:rPr>
        <w:t>E. 20</w:t>
      </w:r>
    </w:p>
    <w:p>
      <w:r>
        <w:t>014 566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