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85.110 vom 19. März 1987</w:t>
      </w:r>
    </w:p>
    <w:p>
      <w:r>
        <w:t>Bundesverwaltung, 1987-03-19, DE</w:t>
      </w:r>
    </w:p>
    <w:p>
      <w:r>
        <w:rPr>
          <w:b/>
        </w:rPr>
        <w:t xml:space="preserve">Quelle: </w:t>
      </w:r>
      <w:r>
        <w:t>https://mcp.opencaselaw.ch/entscheid/ch_vb_85.110</w:t>
      </w:r>
    </w:p>
    <w:p>
      <w:r>
        <w:t>FR: CH_VB 85.110 du 19 mars 1987</w:t>
      </w:r>
    </w:p>
    <w:p>
      <w:r>
        <w:t>IT: CH_VB 85.110 del 19 marzo 1987</w:t>
      </w:r>
    </w:p>
    <w:p>
      <w:pPr>
        <w:pStyle w:val="Heading2"/>
      </w:pPr>
      <w:r>
        <w:t>Erwägungen</w:t>
      </w:r>
    </w:p>
    <w:p>
      <w:r>
        <w:rPr>
          <w:b/>
        </w:rPr>
        <w:t>E. 19</w:t>
      </w:r>
    </w:p>
    <w:p>
      <w:r>
        <w:t>mars 1987 gens wurde die Grenzgängervereinbarung durch sämtliche beteiligten Kantone gemäss ihren verfassungsrechtlichen Bestimmungen gutgeheissen und trat daraufhin am 18. Dezember 1986 in Kraft. Eine Anpassung von Artikel 17 Absatz 4 des schweizerisch- französischen Doppelbesteuerungsabkommens von 1966/ 69 ist nicht erforderlich. Die entsprechende Bestimmung behält einzig die Anwendung der besonderen Vereinbarun- gen über die Besteuerung der Grenzgänger vor, und die im Text erwähnte Vereinbarung von 1935 wird automatisch durch die neue Vereinbarung von 1983 ersetzt. Die eidge- nössischen Räte müssen deshalb zu diesem Punkt nicht Stellung nehmen. Eine Entschädigung des Bundes an die Kantone zum Aus- gleich der Einnahmenausfälle, die aus der Verschiebung der erstmaligen Anwendung der Vereinbarung von 1983 auf 1985 entstanden sind, kommt nicht in Betracht. Der Bundes- rat hat in der Tat nicht nur rechtmässig, sondern auch im übergeordneten allgemeinen Landesinteresse und mit der Zustimmung der betroffenen Kantone gehandelt. Schriftliche Erklärung des Bundesrates Déclaration écrite du Conseil fédéral Der Bundesrat beantragt, die Motion abzulehnen. Gehen: Der Bundesrat stellt in seiner Antwort vom 2. März 1987 nur den letzten Akt einer höchst problematischen Geschichte dar, die zur Zustimmung der «Groupe de con- certation des cantons frontaliers limitrophes de la France» zur fraglichen Vereinbarung führte. Das Bundesgericht wird Gelegenheit haben zu prüfen, ob die den Kantonen in die- sem merkwürdigen Vorgehen aufoktroyierte Vereinbarung vom 11. April 1983 staatsvertragskonform ist. Unsere Arbeit- geber sollen nämlich nun verpflichtet sein, dem französi- schen Fiskus alle verlangten Unterlagen zur Besteuerung der von ihnen beschäftigten Grenzgänger und zur Gewin- nung einer lückenlosen Uebersicht der Erwerbsverhältnisse der in Frankreich wohnhaften, in der Schweiz erwerbstäti- gen Grenzgänger zu liefern. Damit wird der Wirtschaftsspionage aus eigenem Verschul- den Vorschub geleistet, und es könnten schwere Schäden entstehen. Der vom «Beobachter» aufgezeigte jährliche Ausfall von rund 11 Millionen Franken an direkten Bundes- steuern scheint für unseren Bundesrat ein Pappenstiel zu sein. Ich halte fest, dass unser Parlament der Abtretung der Steuerhoheit bzw. diesem millionenschweren Verzicht zugunsten Frankreichs nie zugestimmt hat. Ganz im Gegen- teil. Ich erinnere an Ihren Nichteintretensentscheid vom 13. Dezember 1984 zur Revision des DBA mit Frankreich. Die Haltung des Bundesrates ist daher meines Erachtens zumindest als erstaunlich einzustufen. Die Bundesverfas- sung verlangt in Artikel 9 unmissverständlich, dass die Kan- tone mit dem Ausland kein Abkommen schliessen dürfen, welches den Interessen des Bundes zuwiderläuft. 11 Millio- nen Franken jährlich scheinen kein Bundesinteresse zu sein - übrigens auch nicht für den Staatsanwalt. Wahrhaftig erstaunlich. Ich verwahre mich in aller Form gegen die in dieser Sache zugunsten des französischen Fiskus gepflegte andauernde Desinformation. Diese findet sich übrigens nicht nur in der Motionsbeantwortung, sondern auch in der Antwort auf die Einfache Anfrage Soldini vom 19. Dezember letzten Jahres. Es stimmt auch nicht, dass zum Beispiel in den Kantonen Basel-Stadt und Basel-Landschaft die direkte Bundessteuer aufgrund einer rechtskräftigen Abmachung nicht eingezo- gen worden wäre oder nicht eingezogen werden müsste. Vielmehr hat man dort wie andernorts jahrelang einfach geschlafen und unsere Rechte nicht wahrgenommen. Seit 1939 - so gemäss «Beobachter-Berechnung - wurde auf diese Weise auf über eine halbe Milliarde Franken Steuereinnahmen zugunsten Frankreichs verzichtet. Diese Art Interessenwahrung unseres Landes ist mir unverständ- lich. Ich vermag die Verantwortung dafür nicht mitzutragen. Ich habe deshalb im Verlaufe der letzten zwei Jahre auch mehrere Vorstösse eingereicht. Ich werde nun in der gegen- wärtigen Situation das Dossier nicht weiterbearbeiten, son- dern es unseren Geschäftsprüfungskommissionen und der Finanzdelation beider Räte überweisen. Der Stand der Dinge - durch die Zustimmung der Kantone zu diesem Abkommen - ist nun aber so, dass ich es nicht als sinnvoll beurteile, in unserem Rate hier noch eine längere Debatte vom Zaun zu reissen. Ich ziehe die Motion hiermit zurück. Zurückgezogen - Retiré #ST# 86.955 Motion Oehler Energiepolitik. Steuerliche Bevorzugung Politique énergétique. Avantages fiscaux Wortlaut der Motion vom 10. Oktober 1986 Der Bundesrat wird eingeladen, dem Parlament Bericht und Antrag über die Abzugsfähigkeit jener Kosten zu stellen, welche direkt den Hauseigentümern und indirekt den Mie- tern als Folge der Erneuerung der Heizungsanlagen aus energie-, Umweltschutz- und beschäftigungspolitischen Gründen anfallen. Texte de la motion du 10 octobre 1986 Le Conseil fédéral est chargé de soumettre au Parlement un rapport assorti de propositions sur les possibilités de défal- quer les frais que le renouvellement d'installations de chauf- fage, lorsqu'il répond au souci d'économiser l'énergie, de préserver l'environnement ou de créer des emplois, occa- sionne directement aux propriétaires et, indirectement, aux locataires. Mitunterzeichner- Cosignataire: Keine - Aucun Schriftliche Begründung - Développement par écrit In der Schweiz gibt es Hunderttausende von Heizanlagen, die den modernen Erkenntnissen nicht mehr genügen. Diese Heizanlagen in Ein- und Mehrfamilienhäusern ver- brennen nicht nur unnötig viel Heizöl oder Gas, sondern sind wesentliche Faktoren in der Umweltverschmutzung. Die einschlägigen Industrien haben zusammen mit dem Installationsgewerbe in den vergangenen Jahren gewaltige Anstrengungen unternommen, um umweltfreundlichere, energiesparende und wirkungsvolle Anlagen zu erstellen. Damit wird nicht nur Energie eingespart, sondern auch die Umwelt wird spürbar entlastet. Vielfach nehmen die Hauseigentümer Abstand von solchen Erneuerungen, weil sie entweder zu hohe Kosten verursa- chen oder sie diese Kosten - im Falle von Mietobjekten - nicht auf die Mieter überwälzen wollen. Mit der steuerlichen Bevorzugung oder der Einführung der Abzugsfähigkeit sol- cher Investitionen würden positive Grundlagen geschaffen. Es wäre vorzusehen, die Abzugsfähigkeit über eine Zeit- spanne von zehn Jahren, also in zehn Jahresraten, zu ermöglichen. Wohl wissend, dass das schweizerische Steu- errecht auf verschiedene Ebenen verteilt ist, darf dies kein Grund sein, begründete umweit- und energiepolitische Postulate vor uns herzuschieben. Schriftliche Stellungnahme des Bundesrates vom 8. Dezember 1986 Rapport écrit du Conseil fédéral du 8 décembre 1986 1. Energiesparen ist Unbestrittenermassen ein Gebot der Zeit. Die Eidgenössische Steuerverwaltung hat daher mit</w:t>
      </w:r>
    </w:p>
    <w:p>
      <w:r>
        <w:t>Schweizerisches Bundesarchiv, Digitale Amtsdruckschriften Archives fédérales suisses, Publications officielles numérisées Archivio federale svizzero, Pubblicazioni ufficiali digitali Motion Oehen Kantonale Steuerhoheit Motion Oehen Souveraineté fiscale des cantons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15 Séance Seduta Geschäftsnummer 85.110 Numéro d'objet Numero dell'oggetto Datum 19.03.1987 - 08:00 Date Data Seite 434-436 Page Pagina Ref. No</w:t>
      </w:r>
    </w:p>
    <w:p>
      <w:r>
        <w:rPr>
          <w:b/>
        </w:rPr>
        <w:t>E. 20</w:t>
      </w:r>
    </w:p>
    <w:p>
      <w:r>
        <w:t>015 212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