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85.065 vom 16. Dezember 1986</w:t>
      </w:r>
    </w:p>
    <w:p>
      <w:r>
        <w:t>Bundesverwaltung, 1986-12-16, DE</w:t>
      </w:r>
    </w:p>
    <w:p>
      <w:r>
        <w:rPr>
          <w:b/>
        </w:rPr>
        <w:t xml:space="preserve">Quelle: </w:t>
      </w:r>
      <w:r>
        <w:t>https://mcp.opencaselaw.ch/entscheid/ch_vb_85.065</w:t>
      </w:r>
    </w:p>
    <w:p>
      <w:r>
        <w:t>FR: CH_VB 85.065 du 16 décembre 1986</w:t>
      </w:r>
    </w:p>
    <w:p>
      <w:r>
        <w:t>IT: CH_VB 85.065 del 16 dicembre 1986</w:t>
      </w:r>
    </w:p>
    <w:p>
      <w:pPr>
        <w:pStyle w:val="Heading2"/>
      </w:pPr>
      <w:r>
        <w:t>Erwägungen</w:t>
      </w:r>
    </w:p>
    <w:p>
      <w:r>
        <w:rPr>
          <w:b/>
        </w:rPr>
        <w:t>E. 16</w:t>
      </w:r>
    </w:p>
    <w:p>
      <w:r>
        <w:t>décembre 1986 Seiten 97 bis 103 des Berichtes lese, dann habe ich den Eindruck, dass wir mit dem Minderheitsantrag mindestens Akzente anders setzen, und darauf lege ich einigen Wert. Die Verfassungsrevision ist zweifellos ein hochpolitischer Akt. Der Wille, der in diesem Artikel 3a zum Ausdruck kommt, ist der, dass das Parlament hier mitwirkt. Ich muss Ihnen offen gestehen: Nach zwanzig Jahren Diskussion über die Totalrevision, ihren Inhalt, ihre Gestalt und ihre Funktion ist mir ein reiner Auftrag an den Bundesrat zu wenig; das Parlament sollte den Weg weisen. Ich bitte Sie, diesem Artikel 3a zuzustimmen. Binder, Berichterstatter: Ich möchte zu diesem Minderheits- antrag fünf Bemerkungen machen. 1. Materiell ist die Kommission mit dem Inhalt von Artikel 3a weitgehend einverstanden. Das hat auch die heutige Diskus- sion gezeigt. 2. Artikel 3a ist nach unserer Auffassung praktisch - wie das Herr Kollege Hefti vorhin gesagt hat-im bereits beschlosse- nen Artikel 3 enthalten und deshalb nicht notwendig. 3. Nach Meinung der Kommission sollte die Gestaltungsfrei- heit des Bunclesrates jetzt nicht ausdrücklich eingeschränkt werden. Das Parlament wird später zum Zug kommen. Wir haben genau gesagt, was wir wollen: eine formale Totalrevi- sion im weiteren Sinne des Wortes mit inhaltlich punktuellen Aenderungen. 4. Der Bundesbeschluss sollte nach Auffassung der Kom- missionsmehrheit nicht überladen werden, weil sonst das Differenzbereinigungsverfahren zwischen den beiden Räten zu viel Zeit beansprucht.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