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85.062 vom 30. Oktober 1985</w:t>
      </w:r>
    </w:p>
    <w:p>
      <w:r>
        <w:t>Bundesverwaltung, 1985-10-30, DE</w:t>
      </w:r>
    </w:p>
    <w:p>
      <w:r>
        <w:rPr>
          <w:b/>
        </w:rPr>
        <w:t xml:space="preserve">Quelle: </w:t>
      </w:r>
      <w:r>
        <w:t>https://mcp.opencaselaw.ch/entscheid/ch_vb_85.062</w:t>
      </w:r>
    </w:p>
    <w:p>
      <w:r>
        <w:t>FR: CH_VB 85.062 du 30 octobre 1985</w:t>
      </w:r>
    </w:p>
    <w:p>
      <w:r>
        <w:t>IT: CH_VB 85.062 del 30 ottobre 1985</w:t>
      </w:r>
    </w:p>
    <w:p>
      <w:pPr>
        <w:pStyle w:val="Heading2"/>
      </w:pPr>
      <w:r>
        <w:t>Erwägungen</w:t>
      </w:r>
    </w:p>
    <w:p>
      <w:r>
        <w:rPr>
          <w:b/>
        </w:rPr>
        <w:t>E. 3</w:t>
      </w:r>
    </w:p>
    <w:p>
      <w:r>
        <w:t>Es ist der bescheidenste Eingriff in die natürliche Land- schaft, den man sich denken kann. Vor dem Ständerat liegt ein blosser Finanzierungsbe- schluss. Alle Bedingungen und näheren Modalitäten der Ausführung werden vom Bundesrat in einem eigenen Bun- desratsbeschluss festgelegt. Es wurde uns von der Verwal- tung erklärt, das erfolge im Sinne einer sauberen Gewalten- trennuhg, und zwar erstmals beim vorliegenden Beschluss, ausgenommen die Genfersee-Regulierung. Ich kann diesen Ueberlegungen betreffend die saubere Gewaltentrennung, die in Uebereinstimmung mit dem Bun- desamt für Justiz angestellt worden sind, folgen, doch erlaube ich mir hier eine persönliche Bemerkung: Wenn in Zukunft die Räte nur noch reine Finanzbeschlüsse zu fassen haben, der Bundesrat aber beliebige Aenderungen an den vorgelegten Projekten vornehmen kann, dann müssen wir Parlamentarier uns fragen, warum wir uns noch so viel Mühe geben, die Angemessenheit und Güte eines Projektes überhaupt zu prüfen. Sollen wir uns in Zukunft nicht auf das Allwissen von Verwaltung und Bundesrat verlassen? Nicht dass ich hier den geringsten Zweifel an der Richtigkeit dieser heutigen Vorlage anmelden möchte, aber im Sinne einer Ueberlegung zur Wirksamkeit des Parlamentes: Wenn die Verwaltung ein neues System einführt, uns also in Zukunft nur noch Finanzbeschlüsse zur Genehmigung vor- legt und alle technischen Details selber und abschliessend genehmigen will, so sollte meines Erachtens dieses neue System erst einmal vom Parlament geprüft werden. Ich bin aus meiner Tätigkeit im kantonalen Parlament heraus hell- hörig geworden für Nuancen, die bloss nach vernünftiger Auslegung der Gewaltentrennung aussehen und letzten Endes dazu führen, dass Verwaltung und Exekutive wieder stärker werden und das Parlament schwächer wird. Wie gesagt, das gehört nicht zum Thema heute. Aber für die Funktion des Parlamentes wären solche Praxisänderungen der ausführlichen Diskussion meines Erachtens wert. Namens der einstimmigen Kommission empfehle ich Ihnen, die Beratung dieses Bundesbeschlusses in globo vorzuneh- men, ihm zuzustimmen und damit einen Bundesbeitrag von 30 Prozent oder höchstens 19,86 Millionen Franken zu be- schliessen: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