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84.559 vom 14. Dezember 1984</w:t>
      </w:r>
    </w:p>
    <w:p>
      <w:r>
        <w:t>Bundesverwaltung, 1984-12-14, DE</w:t>
      </w:r>
    </w:p>
    <w:p>
      <w:r>
        <w:rPr>
          <w:b/>
        </w:rPr>
        <w:t xml:space="preserve">Quelle: </w:t>
      </w:r>
      <w:r>
        <w:t>https://mcp.opencaselaw.ch/entscheid/ch_vb_84.559</w:t>
      </w:r>
    </w:p>
    <w:p>
      <w:r>
        <w:t>FR: CH_VB 84.559 du 14 décembre 1984</w:t>
      </w:r>
    </w:p>
    <w:p>
      <w:r>
        <w:t>IT: CH_VB 84.559 del 14 dicembre 1984</w:t>
      </w:r>
    </w:p>
    <w:p>
      <w:pPr>
        <w:pStyle w:val="Heading2"/>
      </w:pPr>
      <w:r>
        <w:t>Erwägungen</w:t>
      </w:r>
    </w:p>
    <w:p>
      <w:r>
        <w:rPr>
          <w:b/>
        </w:rPr>
        <w:t>E. 14</w:t>
      </w:r>
    </w:p>
    <w:p>
      <w:r>
        <w:t>Dezember 1984 N 1943 Interpellation Rüttimann Ces conflits résultent souvent des normes par lesquelles les Etats-Unis visent à régler un comportement qui se déroule principalement sur leur territoire ou qui touche leurs intérêts légitimes. Le fait que de telles normes ont, dans bien des cas, également des répercussions sur la Suisse et notam- ment sur les firmes opérant au niveau international est en premier lieu une conséquence de l'interdépendance écono- mique. Le Conseil fédéral est d'avis que lorsque de tels conflits surgissent entre des Etats amis, il faut s'efforcer de les régler par des négociations tenant compte des intérêts des deux parties. Präsident: Der Interpellant ist von der Antwort des Bundes- rates teilweise befriedigt. #ST# 84.321 Interpellation Rüttimann Tierschutzgesetz. Anwendung Protection des animaux. Application de la loi Wortlaut der Interpellation vom 5. März 1984 Der Bundesrat wird um Auskunft gebeten, ob er bereit und in der Lage ist, seine Kompetenzen in Artikel 9 Absatz 1 des Tierschutzgesetzes vom 9. März 1978 voll auszuschöpfen. Dieser lautet so: «Der Bundesrat kann unter den Gesichts- punkten des Tierschutzes die Ein-, Aus- und Durchfuhr von Tieren sowie tierischer Erzeugnisse an Bedingungen knüp- fen, sie einschränken oder gänzlich verbieten.» Texte de l'interpellation du 5 mars 1984 Le Conseil fédéral est prié de dire s'il est disposé à tirer tout le parti possible des compétences que lui confère l'article 9, 1er alinéa, de la loi du 9 mars 1978 sur la protection des animaux et s'il est en mesure de le faire. Cette disposition a la teneur suivante: «Pour des raisons relevant de la protec- tion des animaux, le Conseil fédéral peut subordonner à certaines conditions l'importation, l'exportation et le transit d'animaux ainsi que de produits d'origine animale, les limi- ter ou les interdire.» Mitunterzeichner - Cosignataires: Buhler-Tschappina, Columberg, Fischer-Hägglingen, Fischer-Sursee, Geissbüh- ler, Graf, Mari, Hofmann, Humbel, Iten, Jung, Kühne, Mühle- mann, Müller-Zürich, Müller-Scharnachtal, Müller-Wiliberg, Nebiker, Nef, Nussbaumer, Ogi, Pfund, Revaclier, Risi- Schwyz, Ruckstuhl, Sager, Savary-Freiburg, Schmidhalter, Schnider-Luzern, Schnyder-Bern, Schwarz, Segmüller, Sei- ler, Thévoz, Tschuppert, Uhlmann, Villiger, Weber-Schwyz, Zbinden (38) Schriftliche Begründung - Développement par écrit Konkret geht es um die Einfuhr von Eiern aus der Batterie- haltung, welch letztere nach einer Übergangsfrist von zwölf Jahren ab 1. Januar 1992 gemäss Artikel 4 des Tierschutzge- setzes (TSchG) vom 9. März 1978 in unserer inländischen Eierproduktion verboten sein wird. Alle tierschutzgerechten Haltungsarten verteuern aber die Produktion beträchtlich; dies war schon anlässlich der Beratungen des TSchG in den eidgenössischen Räten in den Jahren 1977 und 1978 unbe- stritten. Eine längere Diskussion drehte sich jedoch um die Frage, wie und ob man überhaupt Batterie- und Bodenhal- tungseier unterscheiden könne. In der inländischen Produktion ist dies verhältnismässig leicht möglich, indem die Haltungsarten überprüft bzw. kon- trolliert werden können. Mit Rücksicht auf die bereits im Gang befindliche Umstellung auf tierschutzgerechte Hal- 245-N tungsarten (Bodenhaltung usw.), insbesondere bei Neubau- ten, hat der Bundesrat denn auch richtigerweise mit seinen landwirtschaftlichen Preisbeschlüssen auf 1. Juli 1983 einen Zuschlag von 2 Rappen für tierschutzkonform produzierte Eier bewilligt, welcher bis an die Verkaufsfront weitergege- ben wird. Auf 1. Januar 1986 wird in einer Zwischenphase der Übergangsregelung bereits die Belegungsdichte der Batterien reduziert, und ab I.Januar 1992 werden - wie erwähnt - alle Inlandeier gemäss den Vorschriften des TSchG produziert, d. h. dass dannzumal die Gestehungsko- sten für die gesamte inländische Produktion verteuert sein werden. Den schweizerischen Geflügelhaltern und ihren Organisa- tionen liegt aber daran, dass das Schweizer Ei gegenüber dem importierten dadurch preislich nicht noch mehr diskri- miniert wird. Die fehlenden Tierschutzrestriktionen wie auch die Exportförderungsmassnahmen im Ausland bewirken einen immer spürbareren Importdruck an billigen Batterieei- ern. Der Preisunterschied zwischen Import- und Inlandeiern wird zudem durch die Grenzbelastung des Futters und den relativ hohen Preis des inländischen Futtergetreides um rund 8 Rappen vergrössert. Das in der Eierordnung vom 10. Dezember 1979 statuierte Verhältnis von 65 Prozent Schweizer Eiern und 35 Prozent Import droht damit aus den Fugen zu geraten. Bei den Tierschutzgesetz-Beratungen im Parlament wurden bereits diese Befürchtungen laut. Der damalige Volkswirt- schaftsminister, alt Bundesrat Brugger, erklärte namens des Bundesrates, dass «unter den Gesichtspunkten des Tier- schutzes ...» (Art. 9 Abs. 1 TSchG) selbstverständlich auch die Haltungsarten verstanden werden müssten. Aus han- delspolitischen Gründen und wegen fehlender Kontrollmög- lichkeiten (Herkunftszertifikate unzuverlässig) sei es dem Bundesrat jedoch nicht möglich, Importeier, die nicht den schweizerischen Tierschutzvorschriften entsprechen, zu erkennen und deren Einfuhr zu beschränken oder gänzlich zu verbieten. Hingegen erklärte der bundesrätliche Sprecher am 17. Januar 1978 im Ständerat wörtlich: «Wir müssen das Eierproblem über die Preisausgleichskasse, deren Wirkung verstärkt werden muss, lösen, damit die Konkurrenzfähig- keit der schweizerischen Eierproduzenten einigermassen erhalten bleibt.» Die schweizerischen Geflügelhalter sind nun der bestimm- ten Auffassung, dass es höchste Zeit, aber auch eine Frage von Treu und Glauben sei, dass der Bundesrat heute unge- säumt sein damaliges Versprechen einlöst. Er hat dazu die Kompetenzen sowohl im Tierschutzgesetz wie auch im Gesetz über die Preisausgleichskasse Eier vom 21. Dezem- ber 1960, wo er die Abgaben auf importierten Schaleneiern und Eiprodukten erhöhen kann. Dadurch können Mittel geäufnet werden, mit denen dem inländischen Eierprodu- zenten die verteuernden Tierschutzauflagen kompensiert, das Schweizer Ei aber nicht gleichzeitig verteuert würde. Die Auswirkungen, die Behörden und Produzenten beim Erlass des TSchG vorausgesehen haben, sind seither in voller Konsequenz auf uns zugekommen. Die meisten Bür- gerinnen und Bürger haben bei der Volksabstimmung zwar die Kostenfolgen erkannt, trotzdem greifen sie beim Einkau- fen zu den billigen Importeiern. Die schweizerische Geflü- gelwirtschaft erwartet daher vom Bundesrat dringend, dass er seine Kompetenzen ausschöpft, um den inländischen Produktionsanteil zu erhalten und nicht durch Importe schmälern zu lassen, die dem schweizerischen Tierschutz- gesetz nicht unterliegen. Schriftliche Stellungnahme des Bundesrates vom 21. November 1984 Rapport écrit du Conseil fédéral du 21 novembre 1984 Artikel 9 des Tierschutzgesetzes eröffnet dem Bundesrat die Möglichkeit, die Ein-, Durch- und Ausfuhr von Tieren und tierischen Erzeugnissen aus Gründen des Tier- und Arten- schutzes an Bedingungen zu knüpfen, einzuschränken oder zu verbieten. Der Erlass von Vorschriften, die zu einer Beschränkung des internationalen Warenaustausches füh- ren, ist in verschiedener Hinsicht problematisch. Er ist nur</w:t>
      </w:r>
    </w:p>
    <w:p>
      <w:r>
        <w:t>Schweizerisches Bundesarchiv, Digitale Amtsdruckschriften Archives fédérales suisses, Publications officielles numérisées Archivio federale svizzero, Pubblicazioni ufficiali digitali Interpellation Magnin Souveränität der Schweiz. Respektierung Interpellation Magnin Respect de la souveraineté suisse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84.559 Numéro d'objet Numero dell'oggetto Datum 14.12.1984 - 08:00 Date Data Seite 1941-1943 Page Pagina Ref. No</w:t>
      </w:r>
    </w:p>
    <w:p>
      <w:r>
        <w:rPr>
          <w:b/>
        </w:rPr>
        <w:t>E. 20</w:t>
      </w:r>
    </w:p>
    <w:p>
      <w:r>
        <w:t>013 019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