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84.548 vom 17. September 1985</w:t>
      </w:r>
    </w:p>
    <w:p>
      <w:r>
        <w:t>Bundesverwaltung, 1985-09-17, DE</w:t>
      </w:r>
    </w:p>
    <w:p>
      <w:r>
        <w:rPr>
          <w:b/>
        </w:rPr>
        <w:t xml:space="preserve">Quelle: </w:t>
      </w:r>
      <w:r>
        <w:t>https://mcp.opencaselaw.ch/entscheid/ch_vb_84.548</w:t>
      </w:r>
    </w:p>
    <w:p>
      <w:r>
        <w:t>FR: CH_VB 84.548 du 17 septembre 1985</w:t>
      </w:r>
    </w:p>
    <w:p>
      <w:r>
        <w:t>IT: CH_VB 84.548 del 17 settembre 1985</w:t>
      </w:r>
    </w:p>
    <w:p>
      <w:pPr>
        <w:pStyle w:val="Heading2"/>
      </w:pPr>
      <w:r>
        <w:t>Erwägungen</w:t>
      </w:r>
    </w:p>
    <w:p>
      <w:r>
        <w:rPr>
          <w:b/>
        </w:rPr>
        <w:t>E. 17</w:t>
      </w:r>
    </w:p>
    <w:p>
      <w:r>
        <w:t>September 1985 N 1355 Interpellation Rüttimann tionskapital, ein Wegbleiben von ausländischen Gesell- schaften, die bis anhin Know-how, neue Technologien und neue Marktbereiche in unser Land gebracht haben, und damit verbunden auch ein Verlust an Arbeitsplätzen sowohl im Produktions- wie im Dienstleistungsbereich. Auf der anderen Seite - es ist bereits angetönt worden - bemühen wir uns aktiv um die Innovationsförderung. Unab- hängig von der gegenwärtigen Bundesvorlage zu diesem Bereich haben sich in der Privatwirtschaft einzelne Gesell- schaften darauf spezialisiert, Innovativunternehmungen zu unterstützen, und dies vor allem mit Einschuss von Risiko- kapital. Aufgrund der hohen Emissionsabgabebelastung sind gerade diese Finanzgesellschaften in einer denkbar schlechten Lage, denn auf dem Kapital, das sie sich beschaffen müssen für die Förderung von Innovationsunter- nehmen, müssen sie die 3prozentige Emissionsabgabe bezahlen. Auf der anderen Seite muss auch das Innovativ- unternehmen auf dem ihm zur Verfügung gestellten und da- mit bereits belasteten Kapital erneut die Emissionsabgabe von 3 Prozent bezahlen, was insgesamt eine unerwünschte Kumulation der Emissionsabgabe zur Folge hat. Aufgrund dieser Überlegungen bin ich der Meinung, dass wir uns aufraffen sollten - ich glaube nicht, dass wir die Emissionsabgabe ganz abschaffen können -, den Satz wie- der auf ungefähr 1 Prozent herabzusetzen. Damit würden die ursprünglichen Relationen wiederhergestellt, d. h. wir könnten aus der Emissionsbelastung mit einem Steuer- ertrag von etwa 100 Millionen Franken pro Jahr rechnen, und die Differenz zur heute tatsächlich erzielten Einnahme im Umfang von rund 150 bis 200 Millionen pro Jahr käme wieder echt der Risikokapitalförderung zugut. In diesem Zusammenhang gilt es ein weiteres zu beachten: Unser Hauptinteresse muss es sein, aktive und leistungsfä- hige Produktions- und Dienstleistungsgesellschaften zu unterhalten und neu anzuziehen. Daraus nämlich entsteht für uns die Chance, dass wir sowohl in den Kantonen wie auch auf Bundesebene dauerhaftes Steuerkapital schaffen. Ich glaube, dass da mittel- und langfristig der Erfolg grösser sein wird, als wenn wir am Anfang hohe Eingangskosten setzen. Ich bitte Sie daher, die Motion als Motion zu überweisen. Bundesrat Stich: Die Stempelabgaben sind ein beliebtes Thema. Ich habe allerdings etwas Mühe, an die Besorgnisse oder - entschuldigen Sie den Ausdruck - an das Gejammer zu glauben, das ich hier höre, wenn ich die Zahlen verglei- che, die wir haben. 1975 haben die Stempelabgaben, inklu- sive Emissionsabgabe usw., 469 Millionen Franken einge- bracht. 1979, also nach der Erhöhung, waren es 643 Millio- nen Franken. In diesem Jahr sind es bis Ende August 1,378 Milliarden Franken. Wir haben also in den ersten acht Mona- ten bereits ungefähr gleich viel eingenommen wie 1984 (total 1,447 Milliarden Franken). Wenn man diese Zahlen sieht, dann muss man doch sagen, dass offensichtlich diese Stempelabgaben allein den Finanzplatz Schweiz nicht zu bedrohen vermögen. Herr Feigenwinter hat zwei verschiedene Anliegen auf den Tisch des Hauses gelegt. Das erste Anliegen betrifft die Aufhebung bzw. die Herabsetzung der Emissionsabgabe. Die Aufhebung der Emissionsabgabe würde 350 Millionen Franken kosten. Ein Prozent.Reduktion allein 120 Millionen. Wenn Sie also auf 1 Prozent zurückgehen, dann ist es immerhin eine Viertelmilliarde, auf die man verzichtet. In diesem Zusammenhang muss man trotz allem sehen, dass diese Emissionsabgabe zweifellos nicht eine Subvention an die Unternehmen darstellt. Auf der anderen Seite verhindert diese Emissionsabgabe auch nicht die Gründung neuer Gesellschaften. Wenn ich die Zahl richtig im Kopf habe, sind im letzten Jahr immerhin 8400 neue Aktiengesellschaften gegründet worden, die eine solche Abgabe geleistet haben. Man kann also nicht sagen, es sei eine Abgabe, die wirklich diskriminierend sei und die Gründung verunmögliche. Sie wissen, dass man bei der Innovationsrisikogarantie für kleine und mittlere Unternehmen-eine Ausnahme gemacht hat. Dort rechnen wir mit 3 bis 6 Millionen Franken Aus- fällen. Das zweite Anliegen betrifft die Aufhebung bzw. die Reduk- tion der Umsatzabgabe auf Geldmarktpapieren. Die Befrei- ung bezieht sich auf Papiere mit einer Laufzeit bis drei Monate, was einen Einnahmenausfall von 250 Millionen Franken bringen würde. Bei der Reduktion der Stempelab- gabe bei Geldmarktpapieren mit einer Laufzeit von drei bis zwölf Monaten rechnen wir mit einem weiteren Ausfall von 15 Millionen Franken. Nun können Sie zwar sagen, man müsse eben eine Vorlei- stung erbringen. Ich weiss, dass das nicht alle Begehren sind. Ich komme noch auf die Befreiung des Ausland-Aus- land-Geschäftes zu sprechen, das gelegentlich auch ver- langt wird. Dort sind wir dann rasch bei 1 Milliarde zusätzli- cher Ausfälle. Gelegentlich wird argumentiert, dass man durch einen Verzicht auf diese Stempelabgaben zweifellos erreiche, dass die Courtage bzw. die Gewinne in der Schweiz höher seien und dass der Bund dann einen Aus- gleich hätte. Diese Rechnung geht zweifellos nicht auf. Es würde auch im Grunde genommen der Behauptung wider- sprechen, wenn man sagt, man müsse die Stempelabgaben abschaffen, um mehr Geschäfte tätigen zu können. Es ist nicht anzunehmen, dass man dann entsprechend mehr Courtagen einnimmt. Herr Eisenring hat hier von Prioritäten gesprochen, die man setzen müsse. Das Parlament solle nun sagen, was es wolle. Ich habe heute morgen gesehen, wie Sie Prioritäten setzen. Von diesen Herren, die jetzt Reduktionen vom Bund verlan- gen, ist heute morgen niemand angetreten, um für einen gewissen Ausgleich zu votieren. Die Warenumsatzsteuer auf Energie brauchten wir allein für den Haushaltsausgleich. Sie hätte uns einen gewissen Spielraum gegeben. So hat der Bund effektiv keine Flexibilität. Das will nicht heissen, dass der Bundesrat nicht bereit ist, gewisse Dinge zu tun. Von uns aus gesehen ist eine Pro- rata-Besteuerung für Papiere unter einem Jahr möglicher- weise denkbar, so dass möglicherweise ein Geldmarkt entstehen könnte. Sicher ist es allerdings nicht; aber wir werden diese Frage prüfen. Nur ist für uns ganz selbstver- ständlich, dass für die Wirtschaft die Rahmenbedingungen generell mindestens so wichtig sind. Und eine der wichtigen Rahmenbedingungen für eine gesunde Wirtschaft ist ein gesunder Haushalt. Aus diesen Überlegungen bitte ich Sie, diese Motion als Postulat zu überweisen. Abstimmung - Vote Für Überweisung als Motion 86 Stimmen Für Überweisung als Postulat 51 Stimmen #ST# 85.307 Interpellation Rüttimann Autobahnvignette. Vollzug Vignette autoroutière. Modalités d'application Wortlaut der Interpellation vom 4. Februar 1985 Die Autobahnvignette - gültig ab 1. Januar 1985 - wurde seinerzeit dem Volk schmackhaft gemacht mit dem Hinweis auf den bescheidenen Betrag von 30 Franken. Die inländi- schen Autobahnbenützer hätten sie nur aus Staats vertragli- chen Gründen zu lösen, damit man vor allem die Ausländer zur Kasse bitten könne. Nun ist aber beim Vollzug eine breite Verärgerung in der Bevölkerung festzustellen, da offenbar die einschlägige Ver- ordnung vorsieht, dass bei einem Fahrzeugwechsel eine neue zusätzliche Vignette für das gleiche Kalenderjahr</w:t>
      </w:r>
    </w:p>
    <w:p>
      <w:r>
        <w:t>Schweizerisches Bundesarchiv, Digitale Amtsdruckschriften Archives fédérales suisses, Publications officielles numérisées Archivio federale svizzero, Pubblicazioni ufficiali digitali Motion Feigenwinter Stempelsteuergesetz. Änderung Motion Feigenwinter Droits de timbre. Modification de la loi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84.548 Numéro d'objet Numero dell'oggetto Datum 17.09.1985 - 08:00 Date Data Seite 1351-1355 Page Pagina Ref. No</w:t>
      </w:r>
    </w:p>
    <w:p>
      <w:r>
        <w:rPr>
          <w:b/>
        </w:rPr>
        <w:t>E. 20</w:t>
      </w:r>
    </w:p>
    <w:p>
      <w:r>
        <w:t>013 678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