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84.520 vom 9. Oktober 1986</w:t>
      </w:r>
    </w:p>
    <w:p>
      <w:r>
        <w:t>Bundesverwaltung, 1986-10-09, DE</w:t>
      </w:r>
    </w:p>
    <w:p>
      <w:r>
        <w:rPr>
          <w:b/>
        </w:rPr>
        <w:t xml:space="preserve">Quelle: </w:t>
      </w:r>
      <w:r>
        <w:t>https://mcp.opencaselaw.ch/entscheid/ch_vb_84.520</w:t>
      </w:r>
    </w:p>
    <w:p>
      <w:r>
        <w:t>FR: CH_VB 84.520 du 9 octobre 1986</w:t>
      </w:r>
    </w:p>
    <w:p>
      <w:r>
        <w:t>IT: CH_VB 84.520 del 9 ottobre 1986</w:t>
      </w:r>
    </w:p>
    <w:p>
      <w:pPr>
        <w:pStyle w:val="Heading2"/>
      </w:pPr>
      <w:r>
        <w:t>Erwägungen</w:t>
      </w:r>
    </w:p>
    <w:p>
      <w:r>
        <w:rPr>
          <w:b/>
        </w:rPr>
        <w:t>E. 9</w:t>
      </w:r>
    </w:p>
    <w:p>
      <w:r>
        <w:t>Oktober 1986 N 1479 Motion Nebiker la motion soit transformée en postulat et il se déclare prêt à accepter ce dernier. Schriftliche Erklärung des Bundesrates Déclaration écrite du Conseil fédéral Le Conseil fédéral propose que la motion soit transformée en postulat. Präsident: Herr Sager hat das Wort zu einer Erklärung. Sager: Die Motion des Ständerates und die gleichlautende, von der Fraktion der freisinnig-demokratischen Partei in diesem Rat eingereichte Motion sind eine Folge des Rück- trittes von Herrn Bundesrat Friedrich. Gefordert wird eine Entlastung des Bundesrates als Kollegium und vor allem die Entlastung der Bundesräte in ihren Funktionen als Departe- mentsvorsteher. Die Motion ist vom Ständerat am 18. Dezember 1985 ange- nommen worden, obwohl der Bundesrat damals die Umwandlung in ein Postulat verlangt hatte; unsere Kommis- sion hat sich in zwei Sitzungen mit der Frage auseinander- gesetzt. Sie hat Herrn alt Bundesrat Friedrich angehört und eine allgemeine Aussprache über Entlastungsmöglichkeiten des Bundesrates geführt. Da wir inzwischen erfahren haben, der Bundesrat sei bereit, die Motion anzunehmen, erübrigt sich hier eine Diskussion. Wir werden sie nach Vorlage der Botschaft des Bundesrates in behaglicher Breite führen können. Lediglich eine Feststellung: Nach Auffassung der Kommis- sion soll der Bundesrat alle Entlastungsmöglichkeiten prü- fen, auch solche, die der Urheber der Motion im Ständerat nicht eingeschlossen hat; allenfalls die Berufung von Staats- sekretären oder gar die Erhöhung der Zahl der Bundesräte. In diesem Sinne hat die Kommission mit 8 zu 0 Stimmen bei einer Enthaltung beschlossen, Ihnen zu beantragen, die Motion des Ständerates ebenfalls gutzuheissen. Ueberwiesen - Transmis Präsident: Damit ist auch die gleichlautende Motion des Ständerates (84.542) angenommen. #ST# 86.540 Motion Nebiker Ausserordentliche Session der eidgenössischen Räte Sessions extraordinaires des Chambres fédérales Wortlaut der Motion vom 20. Juni 1986 Der Bundesrat wird ersucht, der Bundesversammlung Bericht und Antrag für eine Aenderung von Artikel 86 Absatz 2 der Bundesverfassung (Einberufung einer ausser- ordentlichen Session) vorzulegen, und zwar in dem Sinne, dass die Einberufung einer ausserordentlichen Session der eidgenössischen Räte nur für Geschäfte von ganz Besonde- rer Bedeutung vorzusehen ist, die zeitlich unaufschiebbar sind und nicht in einer laufenden oder unmittelbar folgen- den Session behandelt werden können. Texte de la motion du 20 juin 1986 Le gouvernement est chargé de présenter aux Chambres fédérales un rapport et une proposition en vue d'une modifi- cation de l'article 86, 2e alinéa de la constitution (convoca- tion en session extraordinaire). La nouvelle disposition devra prévoir que les Chambres fédérales ne pourront être convoquées en session extraordinaire que pour des affaires d'une très haute importance, dont l'examen ne saurait être différé ou ne peut avoir lieu lors de la session en cours ou de la suivante. Mitunterzeichner - Cosignataires: Aliesch, Ammann-Bern, Aregger, Aubry, Auer, Basler, Bonnard, Bonny, Bremi, Büh- ler-Tschappina, Camenzind, Cincera, Cottet, Coutau, Eggly- Genève, Eppenberger-Nesslau, Fischer-Hägglingen, Fi- scher-Sursee, Flubacher, Früh, Gautier, Gehler, Geissbüh- ler, Hari, Hess, Hofmann, Hösli, Hunziker, Jung, Kühne, Künzi, Martignoni, Mühlemann, Müller-Scharnachtal, Mül- ler-Meilen, Müller-Wiliberg, Nef, Neuenschwander, Gehen, Oehler, Ogi, Reich, Reichling, Ruckstuhl, Rutishauser, Schärli, Schmidhalter, Schnyder-Bern, Schwarz, Thévoz, Tschuppert, Uhlmann, Villiger, Weber-Schwyz, Zwingli (55) Schriftliche Begründung - Développement par écrit In letzter Zeit wurde Artikel 86 Absatz 2 der Bundesverfas- sung aus Gründen tagespolitischer Effekthascherei und für die Profilierung einzelner Gruppierungen missbraucht. Dieser Artikel stammt jedoch aus einer Zeit, da die Räte nur einmal jährlich tagten. Bei vier jährlichen Sessionen ist das Bedürfnis ausserordentlicher Sessionen bedeutend gerin- ger. Ein solches Instrument sollte deshalb nur für Fälle vorgesehen sein, in denen die Dringlichkeit eines Geschäfts so gross ist, dass eine Behandlung erst in der folgenden Session nicht genügen kann. Schriftliche Stellungnahme des Büros Rapport écrit du Bureau Da der Vorstoss eine Angelegenheit des Parlamentes betrifft, wird er gemäss GRN Artikel 31 Absatz 3 vom Büro beantwortet. Das Büro ist der Meinung, dass man sich zunächst über den Sinn von Artikel 86 Absatz 2 der Bundesverfassung einigen sollte. Schon bei der Vorbereitung der ausserordentlichen Session zum Waldsterben im Februar 1985, der zweiten auf Begehren eines Viertels der Mitglieder des Nationalrates einberufenen ausserordentlichen Session seit der Gründung des Bundesstaates, haben sich verschiedene Fra- gen zum Vorgehen gestellt. Ist es angemessen, durch den Bundesrat eine ausserordentliche Session der eidgenössi- schen Räte einberufen zu lassen, wenn es den Antragstel- lern darum geht, eine Beratung über ein Thema zu erwirken, dessen Dringlichkeit unterschiedlich eingestuft wird? Sind in Artikel 86 Absatz 2 tatsächlich ein Minderheitsrecht und eine Bestimmung für Krisenzeiten miteinander verknüpft? Bedeutet das Quorum gemäss Artikel 86 Absatz 2, dass die Räte gezwungen werden können, sich mit den gewünschten Traktanden materiell zu befassen, oder können die Räte nach dem Zusammentritt zur ausserordentlichen Session oder in einer ordentlichen Session beschliessen, auf die materielle Behandlung zu verzichten? Problematisch erscheint auch, dass der Ständerat ebenfalls einberufen wird, ohne dass eine Minderheit der Mitglieder des Stände- rates ihrerseits eine ausserordentliche Session verlangen kann. Das in Artikel 86 Absatz 2 auch den Kantonen gewährte Recht kann heute nicht mehr genügen, um die Ungleichbehandlung der beiden Räte zu rechtfertigen. Das Büro hat festgestellt, dass nicht nur die Interpretation des vom Motionär angesprochenen Artikels 86 Absatz 2, sondern allgemein die Bestimmungen der Bundesverfas- sung über die Einberufung der eidgenössischen Räte über- prüft werden müssen. Die Bundesverfassung geht immer noch davon aus, dass jährlich lediglich eine ordentliche Session stattfindet, was bereits Ende des letzten Jahrhun- derts nicht mehr der Praxis entsprach. Auch die Bestimmun- gen in den Artikeln 78 und 82, wonach für jede ordentliche und ausserordentliche Session ein neuer Ratspräsident gewählt werden muss, wurde nie wortgetreu eingehalten. Ferner werden die Bestimmungen des Geschäftsverkehrs- gesetzes (Artikel 1-3) und des Garantiegesetzes (Artikel 13 und 13bis) über die Einberufung der Räte zu überprüfen sein. Dazu gehört vor allem auch die Klärung des Unter-</w:t>
      </w:r>
    </w:p>
    <w:p>
      <w:r>
        <w:t>Schweizerisches Bundesarchiv, Digitale Amtsdruckschriften Archives fédérales suisses, Publications officielles numérisées Archivio federale svizzero, Pubblicazioni ufficiali digitali Motion der freisinnig-demokratischen Fraktion Gewährleistung der Regierungstätigkeit Motion du groupe radical-démocratique Mesures propres à assurer une activité gouvernementale plus fonctionnelle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84.520 Numéro d'objet Numero dell'oggetto Datum 09.10.1986 - 08:00 Date Data Seite 1476-1479 Page Pagina Ref. No 20 014 675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