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84.471 vom 5. Oktober 1984</w:t>
      </w:r>
    </w:p>
    <w:p>
      <w:r>
        <w:t>Bundesverwaltung, 1984-10-05, DE</w:t>
      </w:r>
    </w:p>
    <w:p>
      <w:r>
        <w:rPr>
          <w:b/>
        </w:rPr>
        <w:t xml:space="preserve">Quelle: </w:t>
      </w:r>
      <w:r>
        <w:t>https://mcp.opencaselaw.ch/entscheid/ch_vb_84.471</w:t>
      </w:r>
    </w:p>
    <w:p>
      <w:r>
        <w:t>FR: CH_VB 84.471 du 5 octobre 1984</w:t>
      </w:r>
    </w:p>
    <w:p>
      <w:r>
        <w:t>IT: CH_VB 84.471 del 5 ottobre 1984</w:t>
      </w:r>
    </w:p>
    <w:p>
      <w:pPr>
        <w:pStyle w:val="Heading2"/>
      </w:pPr>
      <w:r>
        <w:t>Erwägungen</w:t>
      </w:r>
    </w:p>
    <w:p>
      <w:r>
        <w:rPr>
          <w:b/>
        </w:rPr>
        <w:t>E. 5</w:t>
      </w:r>
    </w:p>
    <w:p>
      <w:r>
        <w:t>Unter Pflichtleistung für eine ärztliche Behandlung ver- steht das KUVG jede wissenschaftlich anerkannte diagnosti- sche und therapeutische Massnahme, welche von einem Arzt vorgenommen wird. Ist eine solche Massnahme wissen- schaftlich umstritten, obliegt es dem Eidgenössischen Departement des Innern (EDI), nach Anhören der dazu bestimmten Fachkommission, zu entscheiden, ob die Kosten obligatorisch von den Krankenkassen übernommen werden sollen. Zuständig dafür ist die Eidgenössische Fach- kommission für allgemeine Leistungen der Krankenversi- cherung, welche aus fünf Vertretern der Ärzteschaft, aus fünf Vertretern der Kassen, davon zwei Ärzte, und einem Vertreter des Bundesamtes für Gesundheitswesen zusam- mengesetzt ist. Sobald sich diese Kommission mit dem Methadonbericht auseinandergesetzt haben wird, wird sie über die Frage einer allfälligen Pflichtleistung für Methadonprogramme durch die Krankenkassen befinden. Es obliegt danach dem EDI, aufgrund von Artikel 15 Ziffer 5 KUVG, zu entscheiden, ob und in welchem Umfange diese Programme leistungs- pflichtig sind. Le Président: L'interpellateur est satisfait de la réponse du Conseil fédéral. #ST# 84.473 Interpellation Dirren Organentnahme und Organtransplantation Prélèvements et greffes d'organes Wortlaut der Interpellation vom 21. Juni 1984 Der Bereich der Organentnahme bzw. Organtransplantation hat heute eine erhebliche Bedeutung erlangt. Die Rechts- grundlage ist aber noch sehr unklar. Ich frage deshalb den Bundesrat, ob er nicht auch der Meinung ist, dass die Voraussetzung für Organentnahmen bzw. Organtransplan- tationen in einem Gesetz im formellen Sinn zu regeln sind. Texte de l'interpellation du 21 juin 1984 On partique aujourd'hui de plus en plus prélèvements et de greffes d'organes. Pourtant, du point de vue juridique, la situation est très peu claire pour le moment. C'est pourquoi je demande au Conseil fédéral s'il n'est pas lui aussi d'avis qu'il faudrait édicter des dispositions légales précisant les conditions dans lesquelles des prélèvements et des greffes d'organes peuvent s'effectuer. Schriftliche Begründung - Développement par écrit Gerade die Nierentransplantation hat heute eine grosse Bedeutung erlangt. Die Rechtslage hinsichtlich Organtrans- plantationen ist allerdings in der Schweiz noch sehr unklar. Es ist davon auszugehen, dass jeder Mensch zu Lebzeiten in den Grenzen der öffentlichen Ordnung und Sitte über das Schicksal des eigenen späteren Leichnams verfügen kann. Er kann also einer späteren Organentnahme im voraus zustimmen oder sie aber verbieten. Falls ein potentieller Spender keine entsprechende Voraus- verfügung getroffen hat, wird die Rechtslage diffus. So ist ungewiss, ob den nächsten Angehörigen eine Einflussnah- memöglichkeit auf den Leichnam zugestanden werden soll. Wenn ja, ob die Einflussmöglichkeit als Zustimmungsvorbe- halt oder als blosse Einsprachemöglichkeit ausgestaltet werden soll. Im weiteren bietet es Schwierigkeiten, den Kreis der «nächsten Angehörigen» zu umschreiben. Die in letzter Zeit in die Diskussionen eingegangenen Recht- fertigungsgründe wie die Güterabwägung und der Notstand verkomplizieren die Rechtslage noch mehr. Darf zum Bei- spiel entgegen dem Willen der Betroffenen oder entgegen</w:t>
      </w:r>
    </w:p>
    <w:p>
      <w:r>
        <w:t>Schweizerisches Bundesarchiv, Digitale Amtsdruckschriften Archives fédérales suisses, Publications officielles numérisées Archivio federale svizzero, Pubblicazioni ufficiali digitali Interpellation Landolt Methadonbericht Interpellation Landolt Rapport sur la méthadone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84.471 Numéro d'objet Numero dell'oggetto Datum 05.10.1984 - 08:00 Date Data Seite 1430-1431 Page Pagina Ref. No 20 012 773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