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84.437 vom 19. September 1984</w:t>
      </w:r>
    </w:p>
    <w:p>
      <w:r>
        <w:t>Bundesverwaltung, 1984-09-19, DE</w:t>
      </w:r>
    </w:p>
    <w:p>
      <w:r>
        <w:rPr>
          <w:b/>
        </w:rPr>
        <w:t xml:space="preserve">Quelle: </w:t>
      </w:r>
      <w:r>
        <w:t>https://mcp.opencaselaw.ch/entscheid/ch_vb_84.437</w:t>
      </w:r>
    </w:p>
    <w:p>
      <w:r>
        <w:t>FR: CH_VB 84.437 du 19 septembre 1984</w:t>
      </w:r>
    </w:p>
    <w:p>
      <w:r>
        <w:t>IT: CH_VB 84.437 del 19 settembre 1984</w:t>
      </w:r>
    </w:p>
    <w:p>
      <w:pPr>
        <w:pStyle w:val="Heading2"/>
      </w:pPr>
      <w:r>
        <w:t>Erwägungen</w:t>
      </w:r>
    </w:p>
    <w:p>
      <w:r>
        <w:rPr>
          <w:b/>
        </w:rPr>
        <w:t>E. 19</w:t>
      </w:r>
    </w:p>
    <w:p>
      <w:r>
        <w:t>September 1984 459 Interpellation Gerber der Richtliniendebatte sehr deutlich zum Ausdruck gebracht hat, dass das Programm ohnehin schon überlastet ist. Aus allen diesen Gründen beantragt der Bundesrat die Ablehnung der Motion. Abstimmung - Vote Für die Überweisung der Motion</w:t>
      </w:r>
    </w:p>
    <w:p>
      <w:r>
        <w:rPr>
          <w:b/>
        </w:rPr>
        <w:t>E. 20</w:t>
      </w:r>
    </w:p>
    <w:p>
      <w:r>
        <w:t>012 872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