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84.364 vom 5. Oktober 1984</w:t>
      </w:r>
    </w:p>
    <w:p>
      <w:r>
        <w:t>Bundesverwaltung, 1984-10-05, DE</w:t>
      </w:r>
    </w:p>
    <w:p>
      <w:r>
        <w:rPr>
          <w:b/>
        </w:rPr>
        <w:t xml:space="preserve">Quelle: </w:t>
      </w:r>
      <w:r>
        <w:t>https://mcp.opencaselaw.ch/entscheid/ch_vb_84.364</w:t>
      </w:r>
    </w:p>
    <w:p>
      <w:r>
        <w:t>FR: CH_VB 84.364 du 5 octobre 1984</w:t>
      </w:r>
    </w:p>
    <w:p>
      <w:r>
        <w:t>IT: CH_VB 84.364 del 5 ottobre 1984</w:t>
      </w:r>
    </w:p>
    <w:p>
      <w:pPr>
        <w:pStyle w:val="Heading2"/>
      </w:pPr>
      <w:r>
        <w:t>Erwägungen</w:t>
      </w:r>
    </w:p>
    <w:p>
      <w:r>
        <w:rPr>
          <w:b/>
        </w:rPr>
        <w:t>E. 5</w:t>
      </w:r>
    </w:p>
    <w:p>
      <w:r>
        <w:t>Le Conseil fédéral est-il d'avis que les caisses-maladie devraient prendre entièrement à leur charge les frais de traitement par la méthadone, comme le rapport susmen- tionné le recommande? Mitunterzeichner - Cosignataires: Blunschy, Bratschi, Bürer-Walenstadt, Columberg, Dirren, Grassi, Hofmann, Humbel, Jung, Kopp, Kühne, Mauch, Müller-Zürich, Neu- komm, Risi-Schwyz, Schärli, Segmüller, Stamm Judith, Uch- tenhagen, Wick (20) Schriftliche Begründung - Développement par écrit Die Eidgenössische Betäubungsmittelkommission bzw. deren Arbeitsgruppe «Methadon» stellt in ihrem Bericht unter anderem fest, dass es in der Schweiz, zu Todesfällen kam, weil die Methadonabgabe nicht erfahrungskonform erfolgte. Viele der methadonabgebenden Medizinalperso- nen waren, so der Bericht, nur spärlich über diesen Bereich informiert, und so wurde zum Teil ohne über den nötigen Hintergrund zu verfügen experimentiert. Die Arbeitsgruppe will nun mit ihrem Bericht in diese Lücke springen und den Kantonen Erfahrungswerte aus verschiedenen Ländern, Richtlinien, Empfehlungen und Literaturhinweise zur Verfü- gung stellen. Die Arbeitsgruppe hat aufgrund ihrer Untersu- chungen Empfehlungen herausgegeben; die Vorschriften und Ausführungsbestimmungen obliegen indessen den Kantonen. Sollten nun diese Empfehlungen nicht zum Tra- gen kommen oder nicht im erwünschten Ausmasse ihre Früchte tragen, so stellt sich die Frage, ob es nicht Bundes- sache wäre, in diesem Bereich mit einer Verschärfung der Betäubungsmittelgesetzgebung einzuschreiten. Tatsache ist, dass die in den Kantonen uneinheitlich gehandhabte Politik und Praxis der Methadonbehandlung nicht mehr haltbar ist und zum Teil gravierende Auswirkungen hat. Einheitliche Vorschriften sind wichtig, weil Unterschiede in der Abgabepraxis zu «Wanderungsbewegungen» führen: Methadonpatienten suchen sich den Kanton mit der liberal- sten Abgabepraxis aus und ziehen um. Und da gilt es, laut Prof. Dr. Ambros Uchtenhagen, Vorsitzender der Arbeits- gruppe «Methadon», deutlich hervorzuheben, dass die Methadonbehandlung ihre ausgewiesene positive Rolle nur erfüllen kann, wenn sie strikte gehandhabt wird. Die Metha- donbehandlung ist ein spezialisiertes Behandlungsverfah- ren, das weit über die Abgabe eines Betäubungsmittels hinausgeht. Prof. Uchtenhagen ist der Meinung, dass schlechte Erfahrungen mit der heutigen Dezentralisierung</w:t>
      </w:r>
    </w:p>
    <w:p>
      <w:r>
        <w:t>Schweizerisches Bundesarchiv, Digitale Amtsdruckschriften Archives fédérales suisses, Publications officielles numérisées Archivio federale svizzero, Pubblicazioni ufficiali digitali Interpellation Longet Umweltschutz. Internationale Zusammenarbeit Interpellation Longet Protection de l'environnement. Coopération internationale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84.364 Numéro d'objet Numero dell'oggetto Datum 05.10.1984 - 08:00 Date Data Seite 1428-1430 Page Pagina Ref. No 20 012 772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