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84.342 vom 14. Dezember 1984</w:t>
      </w:r>
    </w:p>
    <w:p>
      <w:r>
        <w:t>Bundesverwaltung, 1984-12-14, DE</w:t>
      </w:r>
    </w:p>
    <w:p>
      <w:r>
        <w:rPr>
          <w:b/>
        </w:rPr>
        <w:t xml:space="preserve">Quelle: </w:t>
      </w:r>
      <w:r>
        <w:t>https://mcp.opencaselaw.ch/entscheid/ch_vb_84.342</w:t>
      </w:r>
    </w:p>
    <w:p>
      <w:r>
        <w:t>FR: CH_VB 84.342 du 14 décembre 1984</w:t>
      </w:r>
    </w:p>
    <w:p>
      <w:r>
        <w:t>IT: CH_VB 84.342 del 14 dicembre 1984</w:t>
      </w:r>
    </w:p>
    <w:p>
      <w:pPr>
        <w:pStyle w:val="Heading2"/>
      </w:pPr>
      <w:r>
        <w:t>Erwägungen</w:t>
      </w:r>
    </w:p>
    <w:p>
      <w:r>
        <w:rPr>
          <w:b/>
        </w:rPr>
        <w:t>E. 14</w:t>
      </w:r>
    </w:p>
    <w:p>
      <w:r>
        <w:t>décembre 1984 Abwesend sind die folgenden Ratsmitglieder Sont absents Biel, Blocher, Bürer-Walenstadt, Cavadini, Couchepin, Dupont, Eggly-Genève, Eisenring, Fehr, Frei-Romanshorn, Graf, Hösli, Künzi, Loretan, Maître-Genève, Mascarin, Petit- pierre, Pfund, Reich, Risi-Schwyz, Robert, Spalti, Zbinden, Ziegler (24) Präsident Koller Arnold stimmt nicht Monsieur Koller Arnold, président, ne vote pas M. Riesen-Fribourg: Le déroulement de ce vote à l'appel nominal vous a prouvé, de façon claire et nette, à quel point l'introduction du vote électronique serait nécessaire dans ce conseil. Je vous invite à revenir à la charge à la prochaine occasion. #ST# 84.379 Motion Rüttimann Geschäftsreglement des Nationalrates Règlement du Conseil national. Vote à l'appel nominal Wortlaut der Motion vom 20. März 19S4 Das Büro des Nationalrates wird eingeladen, dem Rat eine Änderung des Artikels 77 GRN in dem Sinne vorzuschlagen, dass der Namensaufruf künftig mit der Mehrheit des Rates in offener Abstimmung beschlossen werden kann. Texte de la motion du 20 mars 1984 Le Bureau du Conseil national est invité à présenter à cette Chambre une modification de l'article 77 de son règlement permettant de décider à main levée et, à la majorité des voix, qu'un vote aura lieu à l'appel nominal. Schriftliche Begründung - Développement par écrit Der Namensaufruf kann gemäss geltendem Artikel 77 GRN von 30 Ratsmitgliedern schriftlich verlangt werden. Von diesem Recht wurde bisher recht vernünftig Gebrauch gemacht, d. h. nur bei grundsätzlichen und entscheidenden Sachabstimmungen. Negative Auswirkungen wie Apostro- phierung oder Klassierung von Ratsrnitgliedern aufgrund ihrer Stimmabgabe hielten sich in Grenzen. Nachdem nun aber-offenbar aus parteipolitischen Profilie- rungsgründen - die Begehren auf Namensaufruf sich in auffälliger Weise häufen, stellt sich die Frage der Effizienz der Ratsverhandlungen, kurz des unnötigen Zeitverschleis- ses. Ein Beschluss auf Namensaufruf sollte daher breiter abgestützt sein als durch ein einfaches Sammeln von 30 Unterschriften in einer einzigen Parteistube. Alle Regie- rungsparteien sind nämlich dazu mehr oder weniger selb- ständig in der Lage. Mit der anvisierten Änderung des Arti- kels 77 würde ein Beschluss auf Namensaufruf mehr von der sachpolitischen als von der parteipolitischen Motivation her gefasst. Schriftliche Stellungsnahme des Büros Rapport écrit du Bureau Die vom Motionär verlangte Änderung würde ein Abweichen von einer jahrelangen Praxis bedeuten. Bereits das Regle- ment von 1848 enthielt die Bestimmung, wonach minde- stens 20 Mitglieder des Rates eine Abstimmung unter Namensaufruf verlangen können. Es scheint, dass damit ein Recht der Minderheiten geschaffen wurde, auf das nicht ohne weiteres verzichtet werden sollte. Eine Umfrage unter den Fraktionen hat ergeben, dass die Motion vor allem mit Rücksicht auf dieses Minderheiten- recht mehrheitlich abgelehnt wird. Obwohl die namentli- chen Abstimmungen viel Zeit beanspruchen, muss bei der Abwägung zwischen Zeitgewinn und Minderheitenschutz zugunsten des letzteren entschieden werden. Die Abstimmung unter Namensaufruf stellt zudem ein geeig- netes Mittel zur Vergrösserung der Transparenz dar. Dieses sollte nicht durch erhöhte Anforderungen erschwert bzw. praktisch ganz verunmöglicht werden. Antrag des Büros Das Büro beantragt dem Rat, die Motion abzulehnen. Proposition du Bureau Le Bureau propose au conseil de rejeter la motion. Rüttimann: Die soeben erfolgte Abstimmung hat zweifellos einen Zusammenhang mit meinem Geschäft - oder umge- kehrt. Sie können nun daraus die Folge ziehen, dass der Namensaufruf selbstverständlich beibehalten werden muss, wenn die elektronische Abstimmung vorläufig nicht einge- führt wird. Es geht mir auch nicht um die Abschaffung des Namensaufrufes; wie das Büro herausgefunden hat, war das bereits seit 1848 ein Instrument, um die Transparenz zu fördern. Ich gehe mit dem Büro jedoch nicht einig, dass das ein Minderheitenproblem ist. Vielleicht war es damals der gute Glaube, man könne damit die Minderheiten begünstigen. Die Erfahrung zeigt aber, dass die weitaus meisten Begeh- ren auf Namensaufrufe in den letzten zwei oder drei Jahren von grossen Fraktionen eingegeben wurden und nicht von Minderheiten. Das ist gerade das Problem. Ich finde, es werde der Sache nicht gerecht, wenn eine grosse Fraktion im letzten Moment schnell die Unterschrif- ten zusammenträgt und einen Namensaufruf verlangt. Dies sollte breiter abgestützt sein. Ich sähe eine Möglichkeit darin, die Unterschriftensamm- lung beizubehalten, sie beispielsweise aber zu verdoppeln. Ich habe vorgeschlagen, dass der Namensaufruf mit offener Abstimmung zu beschliessen sei, damit alle Fraktionen an dieser Meinungsbildung teilnehmen können. Das war die Absicht meines Vorstosses im Sinne einer Straffung unserer Verhandlungen. Ich habe ausgerechnet, dass wir allein in dieser Session - den heutigen Tag nicht einmal dazugerech- net - etwa anderthalb Stunden aufgewendet haben für die Namensaufrufe. Wir hätten diese Zeit für etwas Nützlicheres verwenden können. Ich bitte Sie, diese Motion zu überweisen. Reichling, Berichterstatter: Ich muss Ihnen im Auftrag des Büros beantragen, den Vorstoss von Kollege Rüttimann abzulehnen. Wir sind zur Auffassung gekommen, dass man nicht aus momentaner Verärgerung gleich Réglemente und Gesetze ändern sollte, die sich doch in der Regel über Jahrzehnte hinweg bewähren müssen, damit eine gewisse Praxiskonstanz in unserem Ratsbetrieb erreicht wird. Die Begründung von Kollega Rüttimann ist ganz eindeutig. Er will mit Abstimmungen das Mittel des Namensaufrufes ein- schränken, wenn nicht gar unterdrücken. Hier ist das Büro ganz eindeutig der Auffassung, dass wir dieses Recht, ob es nun von grossen Fraktionen oder von Gruppierungen ange- wandt wird, nicht mit einer Form der Repression einschrän- ken sollten. Ich möchte nochmals wiederholen: Jeder von uns ist selbst für seine eigene Disziplin verantwortlich. Das haben Sie auch beim soeben durchgeführten Namensaufruf gesehen. Wenn es Pannen gibt, liegen die Fehler nicht nur etwa beim Sekretär, die Fehler liegen auch bei uns Parlamentariern, nämlich, durch das Verhalten, das wir an den Tag legen. Das Büro ist der Auffassung, dass wir durchaus in der Lage sind, mit dem heutigen Reglement unsere Verhandlungen ver- nünftig durchzuführen. Wenn einzelne Gruppierungen oder wenn gar einzelne Fraktionen aus der Ratsdisziplin aussche- ren wollen, indem sie die Freiheiten und Rechte des Regle-</w:t>
      </w:r>
    </w:p>
    <w:p>
      <w:r>
        <w:t>Schweizerisches Bundesarchiv, Digitale Amtsdruckschriften Archives fédérales suisses, Publications officielles numérisées Archivio federale svizzero, Pubblicazioni ufficiali digitali Motion der LdU/EVP-Fraktion Elektronisches Abstimmungsverfahren im Nationalrat Motion du groupe Adl/PEP Vote électronique au Conseil national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84.342 Numéro d'objet Numero dell'oggetto Datum 14.12.1984 - 08:00 Date Data Seite 1910-1914 Page Pagina Ref. No</w:t>
      </w:r>
    </w:p>
    <w:p>
      <w:r>
        <w:rPr>
          <w:b/>
        </w:rPr>
        <w:t>E. 20</w:t>
      </w:r>
    </w:p>
    <w:p>
      <w:r>
        <w:t>012 988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