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84.334 vom 14. Dezember 1984</w:t>
      </w:r>
    </w:p>
    <w:p>
      <w:r>
        <w:t>Bundesverwaltung, 1984-12-14, DE</w:t>
      </w:r>
    </w:p>
    <w:p>
      <w:r>
        <w:rPr>
          <w:b/>
        </w:rPr>
        <w:t xml:space="preserve">Quelle: </w:t>
      </w:r>
      <w:r>
        <w:t>https://mcp.opencaselaw.ch/entscheid/ch_vb_84.334</w:t>
      </w:r>
    </w:p>
    <w:p>
      <w:r>
        <w:t>FR: CH_VB 84.334 du 14 décembre 1984</w:t>
      </w:r>
    </w:p>
    <w:p>
      <w:r>
        <w:t>IT: CH_VB 84.334 del 14 dicembre 1984</w:t>
      </w:r>
    </w:p>
    <w:p>
      <w:pPr>
        <w:pStyle w:val="Heading2"/>
      </w:pPr>
      <w:r>
        <w:t>Erwägungen</w:t>
      </w:r>
    </w:p>
    <w:p>
      <w:r>
        <w:rPr>
          <w:b/>
        </w:rPr>
        <w:t>E. 14</w:t>
      </w:r>
    </w:p>
    <w:p>
      <w:r>
        <w:t>décembre 1984 sera, d'après de nombreux articles de quotidiens, déférée à une date ultérieure. En outre, en RFA, on introduira proba- blement l'essence sans plomb, non pas à titre obligatoire comme prévu à l'origine, mais comme essence à option pouvant être achetée à côté de l'essence classique addition- née de tétraéthyl de plomb. Nombre de véhicules déjà imma- triculés devront en outre obligatoirement disposer d'es- sence contenant du plomb jusqu'à ce qu'ils soient retirés définitivement de la circulation. Dans ces conditions, il est probable que l'usage de l'essence contenant du plomb en Suisse continuera encore au moins jusqu'à l'an 2000 et peut-être davantage. Au vu de ce fait, il serait irresponsable de continuer encore pendant des années à exposer un certain nombre d'habi- tants de notre pays aux cancérigènes que sont le dibromé- thane et le dichloréthane. Les études visant à trouver un produit utilisable comme «scavenger», à la place de ces substances cancérigènes mais étant dépourvu d'un tel effet néfaste, devraient être menées à bonne fin aussi rapidement que possible. En outre, on devrait envisager une interdiction de l'emploi des «scavengers» si ceux-ci ne peuven'.' pas être remplacés. On a, en effet, fait marcher des moteurs à combustion avec de l'essence avec ou sans adjonction de tétraéthyl de plomb, avant l'introduction des «scavengers». Il est possible que l'absence de «scavenger» entraîne une usure plus rapide des métaux des cylindres, mais à défaut d'une subs- tance pouvant remplacer le dibrométhane et le dichloré- thane, on devrait se résigner à cette usure plus rapide des moteurs dans l'intérêt de la santé publique dans notre pays. Schriftliche Erklärung des Bundesrates vom 1. Mai 1984 Déclaration écrite du Conseil fédéral du 1er mai 1984 Le Conseil fédéral est prêt à accepter le postulat. Überwiesen - Transmis #ST# 84.554 Postulat Eppenberger-Nesslau Natur- und Heimatschutz. Finanz- und Personalprobleme Protection de la nature et sauvegarde du patrimoine national. Problèmes financiers et de personnel Wortlaut des Postulates vom 4. Oktober 1984 Der Vollzug des Bundesgesetzes vom ". Juli 1966 über den Natur- und Heimatschutz wird von der Abteilung für Natur- und Heimatschutz beim Bundesamt für Forstwesen mit 9,5 Mitarbeitern und einem Zahlungskredit von 7,4 Millionen Franken (im Jahr 1984) betreut. Gegenüber dieser kleinen Verwaltungseinheit steht sozusa- gen die ganze übrige Bundesverwaltung, deren Tätigkeit sich direkt (wie z. B. beim Nationalstrassenbau) oder indi- rekt (wie z. B. mit der Konzessionierung von touristischen Transportanlagen) auf die Natur und Landschaft auswirkt. Dass diese Situation einen zunehmenden Vollzugsnotstand im Natur- und Heimatschutz verursachen musste, erscheint naheliegend. Zutreffend anerkennt daher der Bundesrat in seinem Bericht vom 18. Januar 1984 über die Richtlinien der Regierungspolitik 1983 bis 1987, dass die Lage in diesem Bereich «besorgniserregend» ist. Weiter anerkennt er, dass der Schutz der natürlichen Lebensgruridlagen zu einer vor- rangigen Staatsaufgabe geworden ist und dass er die Absicht hat, die «zu leistende Vollzugsarbeit rasch voranzu- treiben». Die Lage wird heute mit der zunehmenden Luftverschmut- zung noch verschärft, deren nachteilige Folgen gewiss nicht am Waldrand Halt machen. Unsere ganze Natur, aber auch unsere Kultur - insbesondere unsere heimatschützerisch und denkmalpflegerisch wertvollste Bausubstanz - werden davon betroffen. Der Bundesrat wird eingeladen zu prüfen, wie er die festge- stellte besorgniserregende Lage verbessern und insbeson- dere durch eine finanzielle und personelle Verstärkung der Natur- und Heimatschutzorgane des Bundes die zu lei- stende Vollzugsarbeit rascher vorantreiben kann. Texte du postulat du 4 octobre 1984 L'exécution de la loi fédérale du 1er juillet 1966 sur la protec- tion de la nature et du paysage est confiée à la division de la protection de la nature et du paysage qui est subordonnée à l'Office fédéral des forêts et dispose d'un effectif de 9,5 unités et d'un crédit de paiement qui, pour 1984, est de 7,4 millions de francs. Cette petite unité administrative est pour ainsi dire au ser- vice du reste de l'administration fédérale dont les activités affectent directement (notamment par la construction de routes nationales) ou indirectement (par l'octroi de conces- sions d'exploitation pour des installations de transport à des fins touristiques p. ex.) la nature et le paysage. Il est évident que cet état de choses ne pouvait que compro- mettre l'application des mesures destinées à sauvegarder ces derniers. Aussi le Conseil fédéral reconnaît-il à bon droit dans son rapport du 18 janvier 1984 sur les Grandes lignes de la politique gouvernementale pour la législature de 1983 à 1987 que la situation est «préoccupante» dans ce domaine. Il admet également que la protection du milieu naturel est devenue une tâche prioritaire de l'Etat et déclare qu'il «a l'intention d'accélérer la préparation des textes d'exécution» des lois y relatives. La situation est encore aggravée par la pollution croissante de l'air, dont les effets fâcheux ne se limitent certainement pas aux forêts. La nature toute entière est touchée, mais aussi nos biens culturels, notamment les édifices et les monuments les plus dignes d'être préservés. Le Conseil fédéral est invité à étudier les moyens de remé- dier à la situation préoccupante dont il a été question et d'accélérer en particulier la mise en œuvre des prescriptions d'exécution, en renforçant notamment les effectifs du per- sonnel des services fédéraux chargés de la protection de la nature et du paysage et en mettant à leur disposition des ressources financières accrues. Mitunterzeichner - Cosignataires: Ammann-St. Gallen, Auer, Eng, Früh, Loretan, Maeder-Appenzell, Oester, Petit- pierre, Robert, Segmüller, Seiler, Zwingli (12) Schriftliche Begründung - Développement par écrit 1. Der Abteilung für Natur- und Heimatschutz im Bundes- amt für Forstwesen steht faktisch der Vollzug des Bundes- gesetzes vom 1. Juli 1966 über den Natur- und Heimatschutz (NHG) zu. Die Haupttätigkeitsbereiche sind bereits im Ver- fassungsartikel 24sexies und danach im Artikel 1 NHG auf- geführt. - Berücksichtigung des Natur- und Heimatschutzes bei der Erfüllung sämtlicher Bundesaufgaben durch Behörden und Amtsstellen des Bundes sowie seiner Anstalten und Betriebe, in Form von eigenen Stellungnahmen (bzw. in Begleitung der ENHK, von obligatorischen oder fakultativen Begutachtungen) oder Beratungen oder auch von allgemei- ner Überwachung sowie durch Bereitstellung von Weglei- tungen mit verfahrensmässigen und materiellen Inhalten; - Vorbereitung und Durchsetzung von Bundesinventaren (gegenwärtig grösstenteils aufgestellt: BLN und ISOS) als Arbeitsinstrumente des Bundes und der Kantone; - die Unterstützung der Kantone (aber auch von Gemein- den, Vereinen und Privaten) mittels Beiträgen zur Erhaltung von schützenswerten Objekten sowie durch die Bereitstel- lung wissenschaftlicher und technischer Grundlagen;</w:t>
      </w:r>
    </w:p>
    <w:p>
      <w:r>
        <w:t>Schweizerisches Bundesarchiv, Digitale Amtsdruckschriften Archives fédérales suisses, Publications officielles numérisées Archivio federale svizzero, Pubblicazioni ufficiali digitali Postulat Pitteloud Dibromethan und Dichlorethan in Treibstoffen. Verbot Postulat Pitteloud Interdiction du dibrométhane et/ou du dichloréthane dans les carburants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84.334 Numéro d'objet Numero dell'oggetto Datum 14.12.1984 - 08:00 Date Data Seite 1921-1922 Page Pagina Ref. No</w:t>
      </w:r>
    </w:p>
    <w:p>
      <w:r>
        <w:rPr>
          <w:b/>
        </w:rPr>
        <w:t>E. 20</w:t>
      </w:r>
    </w:p>
    <w:p>
      <w:r>
        <w:t>012 997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